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楷体" w:hAnsi="楷体" w:eastAsia="楷体" w:cs="楷体"/>
          <w:b/>
          <w:sz w:val="30"/>
          <w:szCs w:val="30"/>
        </w:rPr>
      </w:pPr>
    </w:p>
    <w:p>
      <w:pPr>
        <w:jc w:val="center"/>
        <w:rPr>
          <w:rFonts w:hint="eastAsia" w:ascii="楷体" w:hAnsi="楷体" w:eastAsia="楷体" w:cs="楷体"/>
          <w:b/>
          <w:sz w:val="84"/>
          <w:szCs w:val="84"/>
        </w:rPr>
      </w:pPr>
    </w:p>
    <w:p>
      <w:pPr>
        <w:jc w:val="center"/>
        <w:rPr>
          <w:rFonts w:hint="eastAsia" w:ascii="楷体" w:hAnsi="楷体" w:eastAsia="楷体" w:cs="楷体"/>
          <w:b/>
          <w:sz w:val="84"/>
          <w:szCs w:val="84"/>
        </w:rPr>
      </w:pPr>
    </w:p>
    <w:p>
      <w:pPr>
        <w:jc w:val="center"/>
        <w:rPr>
          <w:rFonts w:hint="eastAsia" w:ascii="楷体" w:hAnsi="楷体" w:eastAsia="楷体" w:cs="楷体"/>
          <w:b/>
          <w:sz w:val="84"/>
          <w:szCs w:val="84"/>
        </w:rPr>
      </w:pPr>
      <w:r>
        <w:rPr>
          <w:rFonts w:hint="eastAsia" w:ascii="楷体" w:hAnsi="楷体" w:eastAsia="楷体" w:cs="楷体"/>
          <w:b/>
          <w:sz w:val="84"/>
          <w:szCs w:val="84"/>
        </w:rPr>
        <w:t>阜阳工业经济学校</w:t>
      </w:r>
    </w:p>
    <w:p>
      <w:pPr>
        <w:jc w:val="center"/>
        <w:rPr>
          <w:rFonts w:hint="eastAsia" w:ascii="楷体" w:hAnsi="楷体" w:eastAsia="楷体" w:cs="楷体"/>
          <w:b/>
          <w:sz w:val="84"/>
          <w:szCs w:val="84"/>
          <w:lang w:val="en-US" w:eastAsia="zh-CN"/>
        </w:rPr>
      </w:pPr>
    </w:p>
    <w:p>
      <w:pPr>
        <w:jc w:val="center"/>
        <w:outlineLvl w:val="0"/>
        <w:rPr>
          <w:rFonts w:hint="eastAsia" w:ascii="楷体" w:hAnsi="楷体" w:eastAsia="楷体" w:cs="楷体"/>
          <w:b/>
          <w:sz w:val="84"/>
          <w:szCs w:val="84"/>
          <w:lang w:val="en-US" w:eastAsia="zh-CN"/>
        </w:rPr>
      </w:pPr>
      <w:bookmarkStart w:id="0" w:name="_Toc15464"/>
      <w:r>
        <w:rPr>
          <w:rFonts w:hint="eastAsia" w:ascii="楷体" w:hAnsi="楷体" w:eastAsia="楷体" w:cs="楷体"/>
          <w:b/>
          <w:sz w:val="84"/>
          <w:szCs w:val="84"/>
          <w:lang w:val="en-US" w:eastAsia="zh-CN"/>
        </w:rPr>
        <w:t>2023质量年度报告</w:t>
      </w:r>
      <w:bookmarkEnd w:id="0"/>
    </w:p>
    <w:p>
      <w:pPr>
        <w:jc w:val="center"/>
        <w:rPr>
          <w:rFonts w:hint="eastAsia" w:ascii="楷体" w:hAnsi="楷体" w:eastAsia="楷体" w:cs="楷体"/>
          <w:b/>
          <w:sz w:val="84"/>
          <w:szCs w:val="84"/>
          <w:lang w:val="en-US" w:eastAsia="zh-CN"/>
        </w:rPr>
      </w:pPr>
    </w:p>
    <w:p>
      <w:pPr>
        <w:jc w:val="center"/>
        <w:rPr>
          <w:rFonts w:hint="default" w:ascii="楷体" w:hAnsi="楷体" w:eastAsia="楷体" w:cs="楷体"/>
          <w:b/>
          <w:sz w:val="84"/>
          <w:szCs w:val="84"/>
          <w:lang w:val="en-US" w:eastAsia="zh-CN"/>
        </w:rPr>
      </w:pPr>
      <w:r>
        <w:rPr>
          <w:rFonts w:hint="eastAsia" w:ascii="楷体" w:hAnsi="楷体" w:eastAsia="楷体" w:cs="楷体"/>
          <w:b/>
          <w:sz w:val="84"/>
          <w:szCs w:val="84"/>
          <w:lang w:val="en-US" w:eastAsia="zh-CN"/>
        </w:rPr>
        <w:t>2024.1</w:t>
      </w:r>
    </w:p>
    <w:p>
      <w:pPr>
        <w:rPr>
          <w:rFonts w:hint="eastAsia" w:ascii="仿宋" w:hAnsi="仿宋" w:eastAsia="仿宋" w:cs="仿宋"/>
          <w:b/>
          <w:sz w:val="32"/>
          <w:szCs w:val="32"/>
          <w:lang w:val="zh-CN"/>
        </w:rPr>
      </w:pPr>
    </w:p>
    <w:p>
      <w:pPr>
        <w:rPr>
          <w:rFonts w:hint="eastAsia" w:ascii="仿宋" w:hAnsi="仿宋" w:eastAsia="仿宋" w:cs="仿宋"/>
          <w:b/>
          <w:bCs w:val="0"/>
          <w:sz w:val="32"/>
          <w:szCs w:val="32"/>
          <w:lang w:val="en-US" w:eastAsia="zh-CN"/>
        </w:rPr>
      </w:pPr>
      <w:r>
        <w:rPr>
          <w:rFonts w:hint="eastAsia" w:ascii="仿宋" w:hAnsi="仿宋" w:eastAsia="仿宋" w:cs="仿宋"/>
          <w:b/>
          <w:sz w:val="32"/>
          <w:szCs w:val="32"/>
          <w:lang w:val="zh-CN"/>
        </w:rPr>
        <w:t xml:space="preserve">  </w:t>
      </w:r>
      <w:r>
        <w:rPr>
          <w:rFonts w:hint="eastAsia" w:ascii="仿宋" w:hAnsi="仿宋" w:eastAsia="仿宋" w:cs="仿宋"/>
          <w:b/>
          <w:bCs w:val="0"/>
          <w:sz w:val="32"/>
          <w:szCs w:val="32"/>
          <w:lang w:val="en-US" w:eastAsia="zh-CN"/>
        </w:rPr>
        <w:t xml:space="preserve">  </w:t>
      </w:r>
    </w:p>
    <w:p>
      <w:pPr>
        <w:rPr>
          <w:rFonts w:hint="eastAsia" w:ascii="仿宋" w:hAnsi="仿宋" w:eastAsia="仿宋" w:cs="仿宋"/>
          <w:b/>
          <w:bCs w:val="0"/>
          <w:sz w:val="30"/>
          <w:szCs w:val="30"/>
        </w:rPr>
      </w:pPr>
    </w:p>
    <w:p>
      <w:pPr>
        <w:rPr>
          <w:rFonts w:hint="eastAsia" w:ascii="仿宋" w:hAnsi="仿宋" w:eastAsia="仿宋" w:cs="仿宋"/>
          <w:b/>
          <w:bCs w:val="0"/>
          <w:sz w:val="30"/>
          <w:szCs w:val="30"/>
        </w:rPr>
      </w:pPr>
    </w:p>
    <w:p>
      <w:pPr>
        <w:rPr>
          <w:rFonts w:hint="eastAsia" w:ascii="仿宋" w:hAnsi="仿宋" w:eastAsia="仿宋" w:cs="仿宋"/>
          <w:b/>
          <w:bCs w:val="0"/>
          <w:sz w:val="30"/>
          <w:szCs w:val="30"/>
        </w:rPr>
      </w:pPr>
    </w:p>
    <w:p>
      <w:pPr>
        <w:rPr>
          <w:rFonts w:hint="eastAsia" w:ascii="仿宋" w:hAnsi="仿宋" w:eastAsia="仿宋" w:cs="仿宋"/>
          <w:b/>
          <w:bCs w:val="0"/>
          <w:sz w:val="30"/>
          <w:szCs w:val="30"/>
        </w:rPr>
      </w:pPr>
    </w:p>
    <w:p>
      <w:pPr>
        <w:rPr>
          <w:rFonts w:hint="eastAsia" w:ascii="仿宋" w:hAnsi="仿宋" w:eastAsia="仿宋" w:cs="仿宋"/>
          <w:b/>
          <w:bCs w:val="0"/>
          <w:sz w:val="30"/>
          <w:szCs w:val="30"/>
        </w:rPr>
      </w:pPr>
    </w:p>
    <w:p>
      <w:pPr>
        <w:rPr>
          <w:rFonts w:hint="eastAsia" w:ascii="仿宋" w:hAnsi="仿宋" w:eastAsia="仿宋" w:cs="仿宋"/>
          <w:b/>
          <w:bCs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jc w:val="center"/>
        <w:rPr>
          <w:rFonts w:hint="eastAsia" w:ascii="仿宋" w:hAnsi="仿宋" w:eastAsia="仿宋" w:cs="仿宋"/>
          <w:b/>
          <w:bCs w:val="0"/>
          <w:sz w:val="32"/>
          <w:szCs w:val="32"/>
          <w:lang w:val="en-US" w:eastAsia="zh-CN"/>
        </w:rPr>
      </w:pPr>
      <w:r>
        <w:rPr>
          <w:rFonts w:hint="eastAsia" w:ascii="仿宋" w:hAnsi="仿宋" w:eastAsia="仿宋" w:cs="仿宋"/>
          <w:b/>
          <w:bCs w:val="0"/>
          <w:sz w:val="32"/>
          <w:szCs w:val="32"/>
          <w:lang w:val="en-US" w:eastAsia="zh-CN"/>
        </w:rPr>
        <w:t>目  录</w:t>
      </w:r>
    </w:p>
    <w:sdt>
      <w:sdtPr>
        <w:rPr>
          <w:rFonts w:hint="eastAsia" w:ascii="仿宋" w:hAnsi="仿宋" w:eastAsia="仿宋" w:cs="仿宋"/>
          <w:sz w:val="20"/>
          <w:szCs w:val="30"/>
          <w:lang w:val="en-US" w:eastAsia="zh-CN"/>
        </w:rPr>
        <w:id w:val="147479012"/>
        <w15:color w:val="DBDBDB"/>
        <w:docPartObj>
          <w:docPartGallery w:val="Table of Contents"/>
          <w:docPartUnique/>
        </w:docPartObj>
      </w:sdtPr>
      <w:sdtEndPr>
        <w:rPr>
          <w:rFonts w:hint="eastAsia" w:ascii="仿宋" w:hAnsi="仿宋" w:eastAsia="仿宋" w:cs="仿宋"/>
          <w:bCs w:val="0"/>
          <w:sz w:val="21"/>
          <w:szCs w:val="32"/>
          <w:lang w:val="en-US" w:eastAsia="zh-CN" w:bidi="ar-SA"/>
        </w:rPr>
      </w:sdtEndPr>
      <w:sdtContent>
        <w:p>
          <w:pPr>
            <w:spacing w:before="0" w:beforeLines="0" w:after="0" w:afterLines="0" w:line="240" w:lineRule="auto"/>
            <w:ind w:left="0" w:leftChars="0" w:right="0" w:rightChars="0" w:firstLine="0" w:firstLineChars="0"/>
            <w:jc w:val="left"/>
            <w:rPr>
              <w:rFonts w:hint="eastAsia" w:ascii="仿宋" w:hAnsi="仿宋" w:eastAsia="仿宋" w:cs="仿宋"/>
              <w:b w:val="0"/>
              <w:bCs w:val="0"/>
              <w:sz w:val="28"/>
              <w:szCs w:val="28"/>
              <w:lang w:val="en-US" w:eastAsia="zh-CN"/>
            </w:rPr>
          </w:pPr>
          <w:r>
            <w:rPr>
              <w:rFonts w:hint="eastAsia" w:ascii="仿宋" w:hAnsi="仿宋" w:eastAsia="仿宋" w:cs="仿宋"/>
              <w:sz w:val="20"/>
              <w:szCs w:val="30"/>
              <w:lang w:val="en-US" w:eastAsia="zh-CN"/>
            </w:rPr>
            <w:fldChar w:fldCharType="begin"/>
          </w:r>
          <w:r>
            <w:rPr>
              <w:rFonts w:hint="eastAsia" w:ascii="仿宋" w:hAnsi="仿宋" w:eastAsia="仿宋" w:cs="仿宋"/>
              <w:sz w:val="20"/>
              <w:szCs w:val="30"/>
              <w:lang w:val="en-US" w:eastAsia="zh-CN"/>
            </w:rPr>
            <w:instrText xml:space="preserve">TOC \o "1-3" \h \u </w:instrText>
          </w:r>
          <w:r>
            <w:rPr>
              <w:rFonts w:hint="eastAsia" w:ascii="仿宋" w:hAnsi="仿宋" w:eastAsia="仿宋" w:cs="仿宋"/>
              <w:sz w:val="20"/>
              <w:szCs w:val="30"/>
              <w:lang w:val="en-US" w:eastAsia="zh-CN"/>
            </w:rPr>
            <w:fldChar w:fldCharType="separate"/>
          </w:r>
          <w:r>
            <w:rPr>
              <w:rFonts w:hint="eastAsia" w:ascii="仿宋" w:hAnsi="仿宋" w:eastAsia="仿宋" w:cs="仿宋"/>
              <w:b w:val="0"/>
              <w:bCs w:val="0"/>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_Toc23016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一、基本情况</w:t>
          </w:r>
          <w:r>
            <w:rPr>
              <w:rFonts w:hint="eastAsia" w:ascii="仿宋" w:hAnsi="仿宋" w:eastAsia="仿宋" w:cs="仿宋"/>
              <w:b w:val="0"/>
              <w:bCs w:val="0"/>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_Toc31516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1.1学校概况</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_Toc31516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_Toc14440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1.2资源投入</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_Toc14440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_Toc26944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二、人才培养</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_Toc26944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_Toc19337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2.1立德树人</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_Toc19337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_Toc9216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2.2技能成才</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_Toc9216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_Toc29218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2.3在校体验</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_Toc29218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8</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_Toc17800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2.4职业发展</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_Toc17800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9</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案例1.持续推进家校协同育人...............................11</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案例2.树立品牌活动育人...................................11</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案例3网络育人...........................................12</w:t>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_Toc20592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三、教育教学质量</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_Toc20592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_Toc5163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3.1专业建设</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_Toc5163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_Toc7483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3.2课程建设</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_Toc7483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_Toc3521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3.3三教改革</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_Toc3521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15</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案例4教育教学型创新团队建设.............................19</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案例5教研科研型创新团队建设.............................20</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案例6技能大赛型创新团队建设.............................22</w:t>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_Toc22219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四、文化传承</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_Toc22219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23</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_Toc31921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4.1红色基因传承</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_Toc31921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23</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_Toc7237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4.2校园文化建设</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_Toc7237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4.3平安校园建设..........................................26</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案例7 深耕红色文化凝心铸魂...............................27</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案例8 强化人文活动，筑牢思想引领.........................28</w:t>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_Toc6630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五、产教融合.............................................</w:t>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_Toc6630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29</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5.1校企合作育人..........................................29</w:t>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_Toc7002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5.2校企共建资源</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_Toc7002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31</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_Toc14756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案例9.双元合作 共育良才----以汽车运用与维修专业为例</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_Toc14756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_Toc453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案例10.</w:t>
          </w:r>
          <w:r>
            <w:rPr>
              <w:rFonts w:hint="eastAsia" w:ascii="仿宋" w:hAnsi="仿宋" w:eastAsia="仿宋" w:cs="仿宋"/>
              <w:b w:val="0"/>
              <w:bCs w:val="0"/>
              <w:color w:val="auto"/>
              <w:sz w:val="28"/>
              <w:szCs w:val="28"/>
              <w:lang w:val="zh-CN" w:eastAsia="zh-CN"/>
            </w:rPr>
            <w:t>校企合作</w:t>
          </w:r>
          <w:r>
            <w:rPr>
              <w:rFonts w:hint="eastAsia" w:ascii="仿宋" w:hAnsi="仿宋" w:eastAsia="仿宋" w:cs="仿宋"/>
              <w:b w:val="0"/>
              <w:bCs w:val="0"/>
              <w:color w:val="auto"/>
              <w:sz w:val="28"/>
              <w:szCs w:val="28"/>
              <w:lang w:val="en-US" w:eastAsia="zh-CN"/>
            </w:rPr>
            <w:t>由“一头热”到“两相许”的探索---以会计电算化专业校企合作为例</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_Toc453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32</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_Toc24472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案例11.基于“校企合作三级实践能力阶梯化培养平台”的高技能人才培养模式创新与实践——以数控技术应用专业为例</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_Toc24472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33</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_Toc1517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六、服务贡献</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_Toc1517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_Toc27697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6.1服务皖北区域财政培训工作</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_Toc27697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_Toc7502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6.2对口服务职业院校</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_Toc7502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35</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_Toc26961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6.3服务乡村振兴</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_Toc26961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36</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_Toc26611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6.4服务地方发展</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_Toc26611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37</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案例12.成人教育组织严谨，参与人数创新高..................37</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案例13.线上培训财政干部，教学质量不下降..................38</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案例14 提前谋划做工作，创业培训质提高....................39</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七、党建工作..............................................39</w:t>
          </w:r>
        </w:p>
        <w:p>
          <w:pPr>
            <w:pStyle w:val="57"/>
            <w:tabs>
              <w:tab w:val="right" w:leader="dot" w:pos="8306"/>
            </w:tabs>
            <w:ind w:left="0" w:leftChars="0" w:firstLine="0" w:firstLineChars="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_Toc12267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八、挑战与展望</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t>7</w:t>
          </w:r>
        </w:p>
        <w:p>
          <w:pPr>
            <w:pStyle w:val="57"/>
            <w:tabs>
              <w:tab w:val="right" w:leader="dot" w:pos="8306"/>
            </w:tabs>
            <w:ind w:left="0" w:leftChars="0" w:firstLine="0" w:firstLineChars="0"/>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_Toc25825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（一）面临挑战</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_Toc25825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47</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7"/>
            <w:tabs>
              <w:tab w:val="right" w:leader="dot" w:pos="8306"/>
            </w:tabs>
            <w:ind w:left="0" w:leftChars="0" w:firstLine="0" w:firstLineChars="0"/>
            <w:rPr>
              <w:rFonts w:hint="eastAsia" w:ascii="仿宋" w:hAnsi="仿宋" w:eastAsia="仿宋" w:cs="仿宋"/>
              <w:sz w:val="20"/>
              <w:szCs w:val="30"/>
              <w:lang w:val="en-US" w:eastAsia="zh-CN"/>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HYPERLINK \l _Toc11326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（二）未来展望</w:t>
          </w:r>
          <w:r>
            <w:rPr>
              <w:rFonts w:hint="eastAsia" w:ascii="仿宋" w:hAnsi="仿宋" w:eastAsia="仿宋" w:cs="仿宋"/>
              <w:b w:val="0"/>
              <w:bCs w:val="0"/>
              <w:color w:val="auto"/>
              <w:sz w:val="28"/>
              <w:szCs w:val="28"/>
              <w:lang w:val="en-US" w:eastAsia="zh-CN"/>
            </w:rPr>
            <w:tab/>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 PAGEREF _Toc11326 \h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t>48</w:t>
          </w:r>
          <w:r>
            <w:rPr>
              <w:rFonts w:hint="eastAsia" w:ascii="仿宋" w:hAnsi="仿宋" w:eastAsia="仿宋" w:cs="仿宋"/>
              <w:b w:val="0"/>
              <w:bCs w:val="0"/>
              <w:color w:val="auto"/>
              <w:sz w:val="28"/>
              <w:szCs w:val="28"/>
              <w:lang w:val="en-US" w:eastAsia="zh-CN"/>
            </w:rPr>
            <w:fldChar w:fldCharType="end"/>
          </w:r>
          <w:r>
            <w:rPr>
              <w:rFonts w:hint="eastAsia" w:ascii="仿宋" w:hAnsi="仿宋" w:eastAsia="仿宋" w:cs="仿宋"/>
              <w:b w:val="0"/>
              <w:bCs w:val="0"/>
              <w:color w:val="auto"/>
              <w:sz w:val="28"/>
              <w:szCs w:val="28"/>
              <w:lang w:val="en-US" w:eastAsia="zh-CN"/>
            </w:rPr>
            <w:fldChar w:fldCharType="end"/>
          </w:r>
        </w:p>
        <w:p>
          <w:pPr>
            <w:pStyle w:val="58"/>
            <w:tabs>
              <w:tab w:val="right" w:leader="dot" w:pos="8306"/>
            </w:tabs>
            <w:rPr>
              <w:rFonts w:hint="eastAsia" w:ascii="仿宋" w:hAnsi="仿宋" w:eastAsia="仿宋" w:cs="仿宋"/>
              <w:sz w:val="20"/>
              <w:szCs w:val="30"/>
              <w:lang w:val="en-US" w:eastAsia="zh-CN"/>
            </w:rPr>
          </w:pPr>
        </w:p>
        <w:p>
          <w:pPr>
            <w:jc w:val="both"/>
            <w:rPr>
              <w:rFonts w:hint="eastAsia" w:ascii="仿宋" w:hAnsi="仿宋" w:eastAsia="仿宋" w:cs="仿宋"/>
              <w:b/>
              <w:bCs w:val="0"/>
              <w:sz w:val="30"/>
              <w:szCs w:val="30"/>
            </w:rPr>
          </w:pPr>
          <w:r>
            <w:rPr>
              <w:rFonts w:hint="eastAsia" w:ascii="仿宋" w:hAnsi="仿宋" w:eastAsia="仿宋" w:cs="仿宋"/>
              <w:sz w:val="20"/>
              <w:szCs w:val="30"/>
              <w:lang w:val="en-US" w:eastAsia="zh-CN"/>
            </w:rPr>
            <w:fldChar w:fldCharType="end"/>
          </w:r>
          <w:bookmarkStart w:id="1" w:name="_Toc23016"/>
        </w:p>
      </w:sdtContent>
    </w:sdt>
    <w:p>
      <w:pPr>
        <w:outlineLvl w:val="0"/>
        <w:rPr>
          <w:rFonts w:hint="eastAsia" w:ascii="仿宋" w:hAnsi="仿宋" w:eastAsia="仿宋" w:cs="仿宋"/>
          <w:b/>
          <w:bCs w:val="0"/>
          <w:sz w:val="30"/>
          <w:szCs w:val="3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outlineLvl w:val="0"/>
        <w:rPr>
          <w:rFonts w:hint="eastAsia" w:ascii="仿宋" w:hAnsi="仿宋" w:eastAsia="仿宋" w:cs="仿宋"/>
          <w:sz w:val="30"/>
          <w:szCs w:val="30"/>
          <w:lang w:eastAsia="zh-CN"/>
        </w:rPr>
      </w:pPr>
      <w:r>
        <w:rPr>
          <w:rFonts w:hint="eastAsia" w:ascii="仿宋" w:hAnsi="仿宋" w:eastAsia="仿宋" w:cs="仿宋"/>
          <w:b/>
          <w:bCs w:val="0"/>
          <w:sz w:val="30"/>
          <w:szCs w:val="30"/>
        </w:rPr>
        <w:t>一</w:t>
      </w:r>
      <w:r>
        <w:rPr>
          <w:rFonts w:hint="eastAsia" w:ascii="仿宋" w:hAnsi="仿宋" w:eastAsia="仿宋" w:cs="仿宋"/>
          <w:b/>
          <w:bCs w:val="0"/>
          <w:sz w:val="30"/>
          <w:szCs w:val="30"/>
          <w:lang w:eastAsia="zh-CN"/>
        </w:rPr>
        <w:t>、</w:t>
      </w:r>
      <w:r>
        <w:rPr>
          <w:rFonts w:hint="eastAsia" w:ascii="仿宋" w:hAnsi="仿宋" w:eastAsia="仿宋" w:cs="仿宋"/>
          <w:b/>
          <w:bCs w:val="0"/>
          <w:sz w:val="30"/>
          <w:szCs w:val="30"/>
          <w:lang w:val="en-US" w:eastAsia="zh-CN"/>
        </w:rPr>
        <w:t>基本</w:t>
      </w:r>
      <w:r>
        <w:rPr>
          <w:rFonts w:hint="eastAsia" w:ascii="仿宋" w:hAnsi="仿宋" w:eastAsia="仿宋" w:cs="仿宋"/>
          <w:b/>
          <w:bCs w:val="0"/>
          <w:sz w:val="30"/>
          <w:szCs w:val="30"/>
          <w:lang w:eastAsia="zh-CN"/>
        </w:rPr>
        <w:t>情况</w:t>
      </w:r>
      <w:bookmarkEnd w:id="1"/>
    </w:p>
    <w:p>
      <w:pPr>
        <w:ind w:firstLine="602" w:firstLineChars="200"/>
        <w:outlineLvl w:val="1"/>
        <w:rPr>
          <w:rFonts w:hint="eastAsia" w:ascii="仿宋" w:hAnsi="仿宋" w:eastAsia="仿宋" w:cs="仿宋"/>
          <w:b/>
          <w:bCs/>
          <w:sz w:val="30"/>
          <w:szCs w:val="30"/>
          <w:lang w:val="en-US" w:eastAsia="zh-CN"/>
        </w:rPr>
      </w:pPr>
      <w:bookmarkStart w:id="2" w:name="_Toc31516"/>
      <w:r>
        <w:rPr>
          <w:rFonts w:hint="eastAsia" w:ascii="仿宋" w:hAnsi="仿宋" w:eastAsia="仿宋" w:cs="仿宋"/>
          <w:b/>
          <w:bCs/>
          <w:sz w:val="30"/>
          <w:szCs w:val="30"/>
          <w:lang w:val="en-US" w:eastAsia="zh-CN"/>
        </w:rPr>
        <w:t>1.1学校概况</w:t>
      </w:r>
      <w:bookmarkEnd w:id="2"/>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default" w:ascii="仿宋" w:hAnsi="仿宋" w:eastAsia="仿宋" w:cs="仿宋"/>
          <w:sz w:val="30"/>
          <w:szCs w:val="30"/>
          <w:lang w:val="en-US"/>
        </w:rPr>
      </w:pPr>
      <w:r>
        <w:rPr>
          <w:rFonts w:hint="eastAsia" w:ascii="仿宋" w:hAnsi="仿宋" w:eastAsia="仿宋" w:cs="仿宋"/>
          <w:sz w:val="30"/>
          <w:szCs w:val="30"/>
        </w:rPr>
        <w:t>学校创办于1981年，是经安徽省政府批准、阜阳市财政局主管、具有40多年办学积淀的中等职业学校，2016年经阜阳市政府批准原安徽省阜阳商业学校合并到我校，现有南、北、东和新校区(在建)四个校区。东、南校区承担中职教育教学工作，北校区承担成人教育及各类职业培训。现校园占地面积549.94亩(含在建新校区293.34亩)，校舍建筑面积27.16万平方米(含在建新校区15万平方米)，学校现有专兼职教师</w:t>
      </w:r>
      <w:r>
        <w:rPr>
          <w:rFonts w:hint="eastAsia" w:ascii="仿宋" w:hAnsi="仿宋" w:eastAsia="仿宋" w:cs="仿宋"/>
          <w:sz w:val="30"/>
          <w:szCs w:val="30"/>
          <w:lang w:val="en-US" w:eastAsia="zh-CN"/>
        </w:rPr>
        <w:t>265</w:t>
      </w:r>
      <w:r>
        <w:rPr>
          <w:rFonts w:hint="eastAsia" w:ascii="仿宋" w:hAnsi="仿宋" w:eastAsia="仿宋" w:cs="仿宋"/>
          <w:sz w:val="30"/>
          <w:szCs w:val="30"/>
        </w:rPr>
        <w:t>人，</w:t>
      </w:r>
      <w:r>
        <w:rPr>
          <w:rFonts w:hint="eastAsia" w:ascii="仿宋" w:hAnsi="仿宋" w:eastAsia="仿宋" w:cs="仿宋"/>
          <w:sz w:val="30"/>
          <w:szCs w:val="30"/>
          <w:lang w:val="en-US" w:eastAsia="zh-CN"/>
        </w:rPr>
        <w:t>在籍中职生4594人，2023年被评为“安徽省优秀中等职业学校（A类）”</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多年来学校以立德树人</w:t>
      </w:r>
      <w:r>
        <w:rPr>
          <w:rFonts w:hint="eastAsia" w:ascii="仿宋" w:hAnsi="仿宋" w:eastAsia="仿宋" w:cs="仿宋"/>
          <w:sz w:val="30"/>
          <w:szCs w:val="30"/>
          <w:lang w:eastAsia="zh-CN"/>
        </w:rPr>
        <w:t>、</w:t>
      </w:r>
      <w:r>
        <w:rPr>
          <w:rFonts w:hint="eastAsia" w:ascii="仿宋" w:hAnsi="仿宋" w:eastAsia="仿宋" w:cs="仿宋"/>
          <w:sz w:val="30"/>
          <w:szCs w:val="30"/>
        </w:rPr>
        <w:t>服务发展</w:t>
      </w:r>
      <w:r>
        <w:rPr>
          <w:rFonts w:hint="eastAsia" w:ascii="仿宋" w:hAnsi="仿宋" w:eastAsia="仿宋" w:cs="仿宋"/>
          <w:sz w:val="30"/>
          <w:szCs w:val="30"/>
          <w:lang w:eastAsia="zh-CN"/>
        </w:rPr>
        <w:t>、</w:t>
      </w:r>
      <w:r>
        <w:rPr>
          <w:rFonts w:hint="eastAsia" w:ascii="仿宋" w:hAnsi="仿宋" w:eastAsia="仿宋" w:cs="仿宋"/>
          <w:sz w:val="30"/>
          <w:szCs w:val="30"/>
        </w:rPr>
        <w:t>促进就业为宗旨</w:t>
      </w:r>
      <w:r>
        <w:rPr>
          <w:rFonts w:hint="eastAsia" w:ascii="仿宋" w:hAnsi="仿宋" w:eastAsia="仿宋" w:cs="仿宋"/>
          <w:sz w:val="30"/>
          <w:szCs w:val="30"/>
          <w:lang w:eastAsia="zh-CN"/>
        </w:rPr>
        <w:t>，</w:t>
      </w:r>
      <w:r>
        <w:rPr>
          <w:rFonts w:hint="eastAsia" w:ascii="仿宋" w:hAnsi="仿宋" w:eastAsia="仿宋" w:cs="仿宋"/>
          <w:sz w:val="30"/>
          <w:szCs w:val="30"/>
        </w:rPr>
        <w:t>以建成“皖北一流、安徽领先、全国有名”的技术技能人才培养基地为目标</w:t>
      </w:r>
      <w:r>
        <w:rPr>
          <w:rFonts w:hint="eastAsia" w:ascii="仿宋" w:hAnsi="仿宋" w:eastAsia="仿宋" w:cs="仿宋"/>
          <w:sz w:val="30"/>
          <w:szCs w:val="30"/>
          <w:lang w:eastAsia="zh-CN"/>
        </w:rPr>
        <w:t>，</w:t>
      </w:r>
      <w:r>
        <w:rPr>
          <w:rFonts w:hint="eastAsia" w:ascii="仿宋" w:hAnsi="仿宋" w:eastAsia="仿宋" w:cs="仿宋"/>
          <w:sz w:val="30"/>
          <w:szCs w:val="30"/>
        </w:rPr>
        <w:t>设置了本科升学、3+2中高职分段联合培养升学、普通升学和就业方向等四个不同层次的办学方向，</w:t>
      </w:r>
    </w:p>
    <w:p>
      <w:pPr>
        <w:spacing w:line="580" w:lineRule="exact"/>
        <w:rPr>
          <w:rFonts w:hint="eastAsia" w:ascii="仿宋" w:hAnsi="仿宋" w:eastAsia="仿宋" w:cs="仿宋"/>
          <w:sz w:val="30"/>
          <w:szCs w:val="30"/>
        </w:rPr>
      </w:pPr>
      <w:r>
        <w:rPr>
          <w:rFonts w:hint="eastAsia" w:ascii="仿宋" w:hAnsi="仿宋" w:eastAsia="仿宋" w:cs="仿宋"/>
          <w:sz w:val="30"/>
          <w:szCs w:val="30"/>
        </w:rPr>
        <w:t>坚持校企合作，内涵发展，努力构建现代化职业教育体系的发展思路，发扬勇于担当、乐于奉献、善于合作、敢于争先的学校精神，为阜阳乃至安徽经济社会发展培养了大批高素质技术技能型人才，形成了鲜明的办学特色。</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sz w:val="30"/>
          <w:szCs w:val="30"/>
        </w:rPr>
      </w:pPr>
      <w:r>
        <w:rPr>
          <w:rFonts w:hint="eastAsia" w:ascii="仿宋" w:hAnsi="仿宋" w:eastAsia="仿宋" w:cs="仿宋"/>
          <w:sz w:val="30"/>
          <w:szCs w:val="30"/>
        </w:rPr>
        <w:t>近年来，随着学校的不断发展，先后被评为“国家级重点中等职业学校”“国家中等职业教育改革发展示范校”</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阜阳唯一一所</w:t>
      </w:r>
      <w:r>
        <w:rPr>
          <w:rFonts w:hint="eastAsia" w:ascii="仿宋" w:hAnsi="仿宋" w:eastAsia="仿宋" w:cs="仿宋"/>
          <w:sz w:val="30"/>
          <w:szCs w:val="30"/>
          <w:lang w:eastAsia="zh-CN"/>
        </w:rPr>
        <w:t>）、</w:t>
      </w:r>
      <w:r>
        <w:rPr>
          <w:rFonts w:hint="eastAsia" w:ascii="仿宋" w:hAnsi="仿宋" w:eastAsia="仿宋" w:cs="仿宋"/>
          <w:sz w:val="30"/>
          <w:szCs w:val="30"/>
        </w:rPr>
        <w:t>“全国中等职业学校德育先进集体”“全国国防教育特色学校”</w:t>
      </w:r>
      <w:r>
        <w:rPr>
          <w:rFonts w:hint="eastAsia" w:ascii="仿宋" w:hAnsi="仿宋" w:eastAsia="仿宋" w:cs="仿宋"/>
          <w:sz w:val="30"/>
          <w:szCs w:val="30"/>
          <w:lang w:val="en-US" w:eastAsia="zh-CN"/>
        </w:rPr>
        <w:t xml:space="preserve"> </w:t>
      </w:r>
      <w:r>
        <w:rPr>
          <w:rFonts w:hint="eastAsia" w:ascii="仿宋" w:hAnsi="仿宋" w:eastAsia="仿宋" w:cs="仿宋"/>
          <w:sz w:val="30"/>
          <w:szCs w:val="30"/>
        </w:rPr>
        <w:t>“全省中等职业学校道德和校园文化建设工作先进集</w:t>
      </w:r>
      <w:r>
        <w:rPr>
          <w:rFonts w:hint="eastAsia" w:ascii="仿宋" w:hAnsi="仿宋" w:eastAsia="仿宋" w:cs="仿宋"/>
          <w:sz w:val="30"/>
          <w:szCs w:val="30"/>
          <w:lang w:val="en-US" w:eastAsia="zh-CN"/>
        </w:rPr>
        <w:t>+</w:t>
      </w:r>
      <w:r>
        <w:rPr>
          <w:rFonts w:hint="eastAsia" w:ascii="仿宋" w:hAnsi="仿宋" w:eastAsia="仿宋" w:cs="仿宋"/>
          <w:sz w:val="30"/>
          <w:szCs w:val="30"/>
        </w:rPr>
        <w:t>体” 和第六、九、十届、十二届“安徽省文明单位”及第五、六</w:t>
      </w:r>
      <w:r>
        <w:rPr>
          <w:rFonts w:hint="eastAsia" w:ascii="仿宋" w:hAnsi="仿宋" w:eastAsia="仿宋" w:cs="仿宋"/>
          <w:sz w:val="30"/>
          <w:szCs w:val="30"/>
          <w:lang w:eastAsia="zh-CN"/>
        </w:rPr>
        <w:t>、</w:t>
      </w:r>
      <w:r>
        <w:rPr>
          <w:rFonts w:hint="eastAsia" w:ascii="仿宋" w:hAnsi="仿宋" w:eastAsia="仿宋" w:cs="仿宋"/>
          <w:sz w:val="30"/>
          <w:szCs w:val="30"/>
        </w:rPr>
        <w:t>七、八、九、十届、十一届“阜阳市文明单位”</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安徽省优秀中等职业学校</w:t>
      </w:r>
      <w:r>
        <w:rPr>
          <w:rFonts w:hint="eastAsia" w:ascii="仿宋" w:hAnsi="仿宋" w:eastAsia="仿宋" w:cs="仿宋"/>
          <w:sz w:val="30"/>
          <w:szCs w:val="30"/>
          <w:lang w:eastAsia="zh-CN"/>
        </w:rPr>
        <w:t>”</w:t>
      </w:r>
      <w:r>
        <w:rPr>
          <w:rFonts w:hint="eastAsia" w:ascii="仿宋" w:hAnsi="仿宋" w:eastAsia="仿宋" w:cs="仿宋"/>
          <w:sz w:val="30"/>
          <w:szCs w:val="30"/>
        </w:rPr>
        <w:t>等称号。</w:t>
      </w:r>
    </w:p>
    <w:p>
      <w:pPr>
        <w:rPr>
          <w:rFonts w:hint="eastAsia" w:eastAsia="宋体"/>
          <w:lang w:val="en-US" w:eastAsia="zh-CN"/>
        </w:rPr>
      </w:pPr>
      <w:r>
        <w:rPr>
          <w:rFonts w:hint="eastAsia" w:eastAsia="宋体"/>
          <w:lang w:val="en-US" w:eastAsia="zh-CN"/>
        </w:rPr>
        <w:drawing>
          <wp:inline distT="0" distB="0" distL="114300" distR="114300">
            <wp:extent cx="5271135" cy="3232785"/>
            <wp:effectExtent l="0" t="0" r="5715" b="5715"/>
            <wp:docPr id="6" name="图片 6"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捕获2"/>
                    <pic:cNvPicPr>
                      <a:picLocks noChangeAspect="1"/>
                    </pic:cNvPicPr>
                  </pic:nvPicPr>
                  <pic:blipFill>
                    <a:blip r:embed="rId6"/>
                    <a:stretch>
                      <a:fillRect/>
                    </a:stretch>
                  </pic:blipFill>
                  <pic:spPr>
                    <a:xfrm>
                      <a:off x="0" y="0"/>
                      <a:ext cx="5271135" cy="3232785"/>
                    </a:xfrm>
                    <a:prstGeom prst="rect">
                      <a:avLst/>
                    </a:prstGeom>
                  </pic:spPr>
                </pic:pic>
              </a:graphicData>
            </a:graphic>
          </wp:inline>
        </w:drawing>
      </w:r>
    </w:p>
    <w:p>
      <w:pPr>
        <w:pStyle w:val="3"/>
        <w:jc w:val="center"/>
        <w:outlineLvl w:val="2"/>
        <w:rPr>
          <w:rFonts w:hint="eastAsia" w:ascii="仿宋" w:hAnsi="仿宋" w:eastAsia="仿宋" w:cs="仿宋"/>
          <w:sz w:val="24"/>
          <w:szCs w:val="24"/>
          <w:lang w:val="en-US" w:eastAsia="zh-CN"/>
        </w:rPr>
      </w:pPr>
      <w:bookmarkStart w:id="3" w:name="_Toc30675"/>
      <w:r>
        <w:rPr>
          <w:rFonts w:hint="eastAsia" w:ascii="仿宋" w:hAnsi="仿宋" w:eastAsia="仿宋" w:cs="仿宋"/>
          <w:sz w:val="24"/>
          <w:szCs w:val="24"/>
          <w:lang w:val="en-US" w:eastAsia="zh-CN"/>
        </w:rPr>
        <w:t>新校区效果图</w:t>
      </w:r>
      <w:bookmarkEnd w:id="3"/>
    </w:p>
    <w:p>
      <w:pPr>
        <w:ind w:firstLine="602" w:firstLineChars="200"/>
        <w:outlineLvl w:val="1"/>
        <w:rPr>
          <w:rFonts w:hint="eastAsia" w:ascii="仿宋" w:hAnsi="仿宋" w:eastAsia="仿宋" w:cs="仿宋"/>
          <w:sz w:val="30"/>
          <w:szCs w:val="30"/>
          <w:lang w:val="en-US" w:eastAsia="zh-CN"/>
        </w:rPr>
      </w:pPr>
      <w:bookmarkStart w:id="4" w:name="_Toc14440"/>
      <w:r>
        <w:rPr>
          <w:rFonts w:hint="eastAsia" w:ascii="仿宋" w:hAnsi="仿宋" w:eastAsia="仿宋" w:cs="仿宋"/>
          <w:b/>
          <w:bCs/>
          <w:sz w:val="30"/>
          <w:szCs w:val="30"/>
          <w:lang w:val="en-US" w:eastAsia="zh-CN"/>
        </w:rPr>
        <w:t>1.2资源投入</w:t>
      </w:r>
      <w:bookmarkEnd w:id="4"/>
      <w:r>
        <w:rPr>
          <w:rFonts w:hint="eastAsia" w:ascii="仿宋" w:hAnsi="仿宋" w:eastAsia="仿宋" w:cs="仿宋"/>
          <w:sz w:val="30"/>
          <w:szCs w:val="30"/>
          <w:lang w:val="en-US" w:eastAsia="zh-CN"/>
        </w:rPr>
        <w:t xml:space="preserve">   </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校园占地面积549.94亩（现在使用的东、南、北三个校区占地256.6亩，在建新校区293.34亩，计划202</w:t>
      </w:r>
      <w:r>
        <w:rPr>
          <w:rFonts w:hint="eastAsia" w:ascii="仿宋" w:hAnsi="仿宋" w:eastAsia="仿宋" w:cs="仿宋"/>
          <w:sz w:val="30"/>
          <w:szCs w:val="30"/>
          <w:lang w:val="en-US" w:eastAsia="zh-CN"/>
        </w:rPr>
        <w:t>5</w:t>
      </w:r>
      <w:r>
        <w:rPr>
          <w:rFonts w:hint="eastAsia" w:ascii="仿宋" w:hAnsi="仿宋" w:eastAsia="仿宋" w:cs="仿宋"/>
          <w:sz w:val="30"/>
          <w:szCs w:val="30"/>
        </w:rPr>
        <w:t>年全面投入使用）。校舍建筑面积12.16万平方米（不包含在建新校区15万平方米）。校园布局合理、功能完善、环境优美、设施齐全，职业教育特色明显。</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学校现有</w:t>
      </w:r>
      <w:r>
        <w:rPr>
          <w:rFonts w:hint="eastAsia" w:ascii="仿宋" w:hAnsi="仿宋" w:eastAsia="仿宋" w:cs="仿宋"/>
          <w:sz w:val="30"/>
          <w:szCs w:val="30"/>
          <w:lang w:val="en-US" w:eastAsia="zh-CN"/>
        </w:rPr>
        <w:t>9个省级示范专业，9</w:t>
      </w:r>
      <w:r>
        <w:rPr>
          <w:rFonts w:hint="eastAsia" w:ascii="仿宋" w:hAnsi="仿宋" w:eastAsia="仿宋" w:cs="仿宋"/>
          <w:sz w:val="30"/>
          <w:szCs w:val="30"/>
        </w:rPr>
        <w:t>个省级示范实训基地，实习实训场地布局开阔、设施设备先进，实习实训工位数</w:t>
      </w:r>
      <w:r>
        <w:rPr>
          <w:rFonts w:hint="eastAsia" w:ascii="仿宋" w:hAnsi="仿宋" w:eastAsia="仿宋" w:cs="仿宋"/>
          <w:sz w:val="30"/>
          <w:szCs w:val="30"/>
          <w:lang w:val="en-US" w:eastAsia="zh-CN"/>
        </w:rPr>
        <w:t>4132</w:t>
      </w:r>
      <w:r>
        <w:rPr>
          <w:rFonts w:hint="eastAsia" w:ascii="仿宋" w:hAnsi="仿宋" w:eastAsia="仿宋" w:cs="仿宋"/>
          <w:sz w:val="30"/>
          <w:szCs w:val="30"/>
        </w:rPr>
        <w:t>个，满足专业实训教学需要，每个专业均拥有3个以上稳定的校外实训基地。学校还是“教育部财税专业技能等级考试培训中心”“安徽省会计电算化培训基地”“国家职业技能鉴定站”“1+X证书考核站点”。</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截止202</w:t>
      </w:r>
      <w:r>
        <w:rPr>
          <w:rFonts w:hint="eastAsia" w:ascii="仿宋" w:hAnsi="仿宋" w:eastAsia="仿宋" w:cs="仿宋"/>
          <w:sz w:val="30"/>
          <w:szCs w:val="30"/>
          <w:lang w:val="en-US" w:eastAsia="zh-CN"/>
        </w:rPr>
        <w:t>3</w:t>
      </w:r>
      <w:r>
        <w:rPr>
          <w:rFonts w:hint="eastAsia" w:ascii="仿宋" w:hAnsi="仿宋" w:eastAsia="仿宋" w:cs="仿宋"/>
          <w:sz w:val="30"/>
          <w:szCs w:val="30"/>
        </w:rPr>
        <w:t>年8月底，学校现有仪器设备总值</w:t>
      </w:r>
      <w:r>
        <w:rPr>
          <w:rFonts w:hint="eastAsia" w:ascii="仿宋" w:hAnsi="仿宋" w:eastAsia="仿宋" w:cs="仿宋"/>
          <w:sz w:val="30"/>
          <w:szCs w:val="30"/>
          <w:lang w:val="en-US" w:eastAsia="zh-CN"/>
        </w:rPr>
        <w:t>4233.77</w:t>
      </w:r>
      <w:r>
        <w:rPr>
          <w:rFonts w:hint="eastAsia" w:ascii="仿宋" w:hAnsi="仿宋" w:eastAsia="仿宋" w:cs="仿宋"/>
          <w:sz w:val="30"/>
          <w:szCs w:val="30"/>
        </w:rPr>
        <w:t>万元，生均</w:t>
      </w:r>
      <w:r>
        <w:rPr>
          <w:rFonts w:hint="eastAsia" w:ascii="仿宋" w:hAnsi="仿宋" w:eastAsia="仿宋" w:cs="仿宋"/>
          <w:sz w:val="30"/>
          <w:szCs w:val="30"/>
          <w:lang w:val="en-US" w:eastAsia="zh-CN"/>
        </w:rPr>
        <w:t>9216</w:t>
      </w:r>
      <w:r>
        <w:rPr>
          <w:rFonts w:hint="eastAsia" w:ascii="仿宋" w:hAnsi="仿宋" w:eastAsia="仿宋" w:cs="仿宋"/>
          <w:sz w:val="30"/>
          <w:szCs w:val="30"/>
        </w:rPr>
        <w:t>元。校图书馆纸质藏书17.19万册,电子图书20万册，生均</w:t>
      </w:r>
      <w:r>
        <w:rPr>
          <w:rFonts w:hint="eastAsia" w:ascii="仿宋" w:hAnsi="仿宋" w:eastAsia="仿宋" w:cs="仿宋"/>
          <w:sz w:val="30"/>
          <w:szCs w:val="30"/>
          <w:lang w:val="en-US" w:eastAsia="zh-CN"/>
        </w:rPr>
        <w:t>81</w:t>
      </w:r>
      <w:r>
        <w:rPr>
          <w:rFonts w:hint="eastAsia" w:ascii="仿宋" w:hAnsi="仿宋" w:eastAsia="仿宋" w:cs="仿宋"/>
          <w:sz w:val="30"/>
          <w:szCs w:val="30"/>
        </w:rPr>
        <w:t>册，报刊杂志132种。教师和学生阅览室座位分别为120和780，教师阅览室座位占比39.34%，学生阅览室座位占比15.2%，为学生学技能、提素养提供了较好的环境。</w:t>
      </w:r>
    </w:p>
    <w:p>
      <w:pPr>
        <w:snapToGrid w:val="0"/>
        <w:spacing w:line="276" w:lineRule="auto"/>
        <w:jc w:val="center"/>
        <w:rPr>
          <w:rStyle w:val="51"/>
          <w:rFonts w:hint="eastAsia" w:ascii="仿宋" w:hAnsi="仿宋" w:eastAsia="仿宋" w:cs="仿宋"/>
          <w:b/>
          <w:kern w:val="0"/>
          <w:sz w:val="28"/>
          <w:szCs w:val="28"/>
        </w:rPr>
      </w:pPr>
      <w:r>
        <w:rPr>
          <w:rStyle w:val="51"/>
          <w:rFonts w:hint="eastAsia" w:ascii="仿宋" w:hAnsi="仿宋" w:eastAsia="仿宋" w:cs="仿宋"/>
          <w:b/>
          <w:kern w:val="0"/>
          <w:sz w:val="28"/>
          <w:szCs w:val="28"/>
        </w:rPr>
        <w:t>表1</w:t>
      </w:r>
      <w:r>
        <w:rPr>
          <w:rStyle w:val="51"/>
          <w:rFonts w:hint="eastAsia" w:ascii="仿宋" w:hAnsi="仿宋" w:eastAsia="仿宋" w:cs="仿宋"/>
          <w:b/>
          <w:kern w:val="0"/>
          <w:sz w:val="28"/>
          <w:szCs w:val="28"/>
          <w:lang w:val="en-US" w:eastAsia="zh-CN"/>
        </w:rPr>
        <w:t xml:space="preserve">  </w:t>
      </w:r>
      <w:r>
        <w:rPr>
          <w:rStyle w:val="51"/>
          <w:rFonts w:hint="eastAsia" w:ascii="仿宋" w:hAnsi="仿宋" w:eastAsia="仿宋" w:cs="仿宋"/>
          <w:b/>
          <w:kern w:val="0"/>
          <w:sz w:val="28"/>
          <w:szCs w:val="28"/>
        </w:rPr>
        <w:t>近两学年</w:t>
      </w:r>
      <w:r>
        <w:rPr>
          <w:rStyle w:val="51"/>
          <w:rFonts w:hint="eastAsia" w:ascii="仿宋" w:hAnsi="仿宋" w:eastAsia="仿宋" w:cs="仿宋"/>
          <w:b/>
          <w:kern w:val="0"/>
          <w:sz w:val="28"/>
          <w:szCs w:val="28"/>
          <w:lang w:val="en-US" w:eastAsia="zh-CN"/>
        </w:rPr>
        <w:t>中等职业</w:t>
      </w:r>
      <w:r>
        <w:rPr>
          <w:rStyle w:val="51"/>
          <w:rFonts w:hint="eastAsia" w:ascii="仿宋" w:hAnsi="仿宋" w:eastAsia="仿宋" w:cs="仿宋"/>
          <w:b/>
          <w:kern w:val="0"/>
          <w:sz w:val="28"/>
          <w:szCs w:val="28"/>
        </w:rPr>
        <w:t>学校生均</w:t>
      </w:r>
      <w:r>
        <w:rPr>
          <w:rStyle w:val="51"/>
          <w:rFonts w:hint="eastAsia" w:ascii="仿宋" w:hAnsi="仿宋" w:eastAsia="仿宋" w:cs="仿宋"/>
          <w:b/>
          <w:kern w:val="0"/>
          <w:sz w:val="28"/>
          <w:szCs w:val="28"/>
          <w:lang w:val="en-US" w:eastAsia="zh-CN"/>
        </w:rPr>
        <w:t>资源投入</w:t>
      </w:r>
      <w:r>
        <w:rPr>
          <w:rStyle w:val="51"/>
          <w:rFonts w:hint="eastAsia" w:ascii="仿宋" w:hAnsi="仿宋" w:eastAsia="仿宋" w:cs="仿宋"/>
          <w:b/>
          <w:kern w:val="0"/>
          <w:sz w:val="28"/>
          <w:szCs w:val="28"/>
        </w:rPr>
        <w:t>情况一览表</w:t>
      </w:r>
    </w:p>
    <w:tbl>
      <w:tblPr>
        <w:tblStyle w:val="17"/>
        <w:tblpPr w:leftFromText="180" w:rightFromText="180" w:vertAnchor="text" w:horzAnchor="margin" w:tblpXSpec="center" w:tblpY="173"/>
        <w:tblOverlap w:val="never"/>
        <w:tblW w:w="8877" w:type="dxa"/>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0"/>
        <w:gridCol w:w="1064"/>
        <w:gridCol w:w="654"/>
        <w:gridCol w:w="814"/>
        <w:gridCol w:w="801"/>
        <w:gridCol w:w="855"/>
        <w:gridCol w:w="774"/>
        <w:gridCol w:w="733"/>
        <w:gridCol w:w="896"/>
        <w:gridCol w:w="624"/>
        <w:gridCol w:w="6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990"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学年度</w:t>
            </w:r>
          </w:p>
        </w:tc>
        <w:tc>
          <w:tcPr>
            <w:tcW w:w="1718"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lang w:val="en-US" w:eastAsia="zh-CN"/>
              </w:rPr>
              <w:t xml:space="preserve"> 校园占地面积（平方米）</w:t>
            </w:r>
          </w:p>
        </w:tc>
        <w:tc>
          <w:tcPr>
            <w:tcW w:w="1615"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lang w:val="en-US" w:eastAsia="zh-CN"/>
              </w:rPr>
            </w:pPr>
            <w:r>
              <w:rPr>
                <w:rStyle w:val="51"/>
                <w:rFonts w:hint="eastAsia" w:ascii="仿宋" w:hAnsi="仿宋" w:eastAsia="仿宋" w:cs="仿宋"/>
                <w:b/>
                <w:bCs/>
                <w:sz w:val="21"/>
                <w:szCs w:val="21"/>
                <w:lang w:val="en-US" w:eastAsia="zh-CN"/>
              </w:rPr>
              <w:t>校舍建筑面积（平方米）</w:t>
            </w:r>
          </w:p>
        </w:tc>
        <w:tc>
          <w:tcPr>
            <w:tcW w:w="162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教学</w:t>
            </w:r>
            <w:r>
              <w:rPr>
                <w:rStyle w:val="51"/>
                <w:rFonts w:hint="eastAsia" w:ascii="仿宋" w:hAnsi="仿宋" w:eastAsia="仿宋" w:cs="仿宋"/>
                <w:b/>
                <w:bCs/>
                <w:sz w:val="21"/>
                <w:szCs w:val="21"/>
                <w:lang w:eastAsia="zh-CN"/>
              </w:rPr>
              <w:t>、</w:t>
            </w:r>
            <w:r>
              <w:rPr>
                <w:rStyle w:val="51"/>
                <w:rFonts w:hint="eastAsia" w:ascii="仿宋" w:hAnsi="仿宋" w:eastAsia="仿宋" w:cs="仿宋"/>
                <w:b/>
                <w:bCs/>
                <w:sz w:val="21"/>
                <w:szCs w:val="21"/>
                <w:lang w:val="en-US" w:eastAsia="zh-CN"/>
              </w:rPr>
              <w:t>实习</w:t>
            </w:r>
            <w:r>
              <w:rPr>
                <w:rStyle w:val="51"/>
                <w:rFonts w:hint="eastAsia" w:ascii="仿宋" w:hAnsi="仿宋" w:eastAsia="仿宋" w:cs="仿宋"/>
                <w:b/>
                <w:bCs/>
                <w:sz w:val="21"/>
                <w:szCs w:val="21"/>
              </w:rPr>
              <w:t>仪器设备值 （</w:t>
            </w:r>
            <w:r>
              <w:rPr>
                <w:rStyle w:val="51"/>
                <w:rFonts w:hint="eastAsia" w:ascii="仿宋" w:hAnsi="仿宋" w:eastAsia="仿宋" w:cs="仿宋"/>
                <w:b/>
                <w:bCs/>
                <w:sz w:val="21"/>
                <w:szCs w:val="21"/>
                <w:lang w:val="en-US" w:eastAsia="zh-CN"/>
              </w:rPr>
              <w:t>万</w:t>
            </w:r>
            <w:r>
              <w:rPr>
                <w:rStyle w:val="51"/>
                <w:rFonts w:hint="eastAsia" w:ascii="仿宋" w:hAnsi="仿宋" w:eastAsia="仿宋" w:cs="仿宋"/>
                <w:b/>
                <w:bCs/>
                <w:sz w:val="21"/>
                <w:szCs w:val="21"/>
              </w:rPr>
              <w:t>元）</w:t>
            </w:r>
          </w:p>
        </w:tc>
        <w:tc>
          <w:tcPr>
            <w:tcW w:w="1629"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highlight w:val="none"/>
              </w:rPr>
            </w:pPr>
            <w:r>
              <w:rPr>
                <w:rStyle w:val="51"/>
                <w:rFonts w:hint="eastAsia" w:ascii="仿宋" w:hAnsi="仿宋" w:eastAsia="仿宋" w:cs="仿宋"/>
                <w:b/>
                <w:bCs/>
                <w:sz w:val="21"/>
                <w:szCs w:val="21"/>
                <w:highlight w:val="none"/>
              </w:rPr>
              <w:t>实训实习工位数（个）</w:t>
            </w:r>
          </w:p>
        </w:tc>
        <w:tc>
          <w:tcPr>
            <w:tcW w:w="1296"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纸质图书数（册）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990"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p>
        </w:tc>
        <w:tc>
          <w:tcPr>
            <w:tcW w:w="106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总数</w:t>
            </w:r>
          </w:p>
        </w:tc>
        <w:tc>
          <w:tcPr>
            <w:tcW w:w="65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生均</w:t>
            </w:r>
          </w:p>
        </w:tc>
        <w:tc>
          <w:tcPr>
            <w:tcW w:w="81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总数</w:t>
            </w:r>
          </w:p>
        </w:tc>
        <w:tc>
          <w:tcPr>
            <w:tcW w:w="80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b/>
                <w:bCs/>
                <w:kern w:val="2"/>
                <w:sz w:val="21"/>
                <w:szCs w:val="21"/>
                <w:lang w:val="en-US" w:eastAsia="zh-CN" w:bidi="ar-SA"/>
              </w:rPr>
            </w:pPr>
            <w:r>
              <w:rPr>
                <w:rStyle w:val="51"/>
                <w:rFonts w:hint="eastAsia" w:ascii="仿宋" w:hAnsi="仿宋" w:eastAsia="仿宋" w:cs="仿宋"/>
                <w:b/>
                <w:bCs/>
                <w:sz w:val="21"/>
                <w:szCs w:val="21"/>
              </w:rPr>
              <w:t>生均</w:t>
            </w:r>
          </w:p>
        </w:tc>
        <w:tc>
          <w:tcPr>
            <w:tcW w:w="85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总数</w:t>
            </w:r>
          </w:p>
        </w:tc>
        <w:tc>
          <w:tcPr>
            <w:tcW w:w="7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生均</w:t>
            </w:r>
          </w:p>
        </w:tc>
        <w:tc>
          <w:tcPr>
            <w:tcW w:w="73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highlight w:val="none"/>
              </w:rPr>
            </w:pPr>
            <w:r>
              <w:rPr>
                <w:rStyle w:val="51"/>
                <w:rFonts w:hint="eastAsia" w:ascii="仿宋" w:hAnsi="仿宋" w:eastAsia="仿宋" w:cs="仿宋"/>
                <w:b/>
                <w:bCs/>
                <w:sz w:val="21"/>
                <w:szCs w:val="21"/>
                <w:highlight w:val="none"/>
              </w:rPr>
              <w:t>总数</w:t>
            </w:r>
          </w:p>
        </w:tc>
        <w:tc>
          <w:tcPr>
            <w:tcW w:w="89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highlight w:val="none"/>
              </w:rPr>
            </w:pPr>
            <w:r>
              <w:rPr>
                <w:rStyle w:val="51"/>
                <w:rFonts w:hint="eastAsia" w:ascii="仿宋" w:hAnsi="仿宋" w:eastAsia="仿宋" w:cs="仿宋"/>
                <w:b/>
                <w:bCs/>
                <w:sz w:val="21"/>
                <w:szCs w:val="21"/>
                <w:highlight w:val="none"/>
              </w:rPr>
              <w:t>生均</w:t>
            </w:r>
          </w:p>
        </w:tc>
        <w:tc>
          <w:tcPr>
            <w:tcW w:w="6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总数</w:t>
            </w:r>
          </w:p>
        </w:tc>
        <w:tc>
          <w:tcPr>
            <w:tcW w:w="6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b/>
                <w:bCs/>
                <w:sz w:val="21"/>
                <w:szCs w:val="21"/>
              </w:rPr>
            </w:pPr>
            <w:r>
              <w:rPr>
                <w:rStyle w:val="51"/>
                <w:rFonts w:hint="eastAsia" w:ascii="仿宋" w:hAnsi="仿宋" w:eastAsia="仿宋" w:cs="仿宋"/>
                <w:b/>
                <w:bCs/>
                <w:sz w:val="21"/>
                <w:szCs w:val="21"/>
              </w:rPr>
              <w:t>生均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exact"/>
        </w:trPr>
        <w:tc>
          <w:tcPr>
            <w:tcW w:w="990"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Style w:val="51"/>
                <w:rFonts w:hint="eastAsia" w:ascii="仿宋" w:hAnsi="仿宋" w:eastAsia="仿宋" w:cs="仿宋"/>
                <w:b/>
                <w:sz w:val="21"/>
                <w:szCs w:val="21"/>
                <w:lang w:eastAsia="zh-CN"/>
              </w:rPr>
            </w:pPr>
            <w:r>
              <w:rPr>
                <w:rStyle w:val="51"/>
                <w:rFonts w:hint="eastAsia" w:ascii="仿宋" w:hAnsi="仿宋" w:eastAsia="仿宋" w:cs="仿宋"/>
                <w:b/>
                <w:sz w:val="21"/>
                <w:szCs w:val="21"/>
              </w:rPr>
              <w:t>20</w:t>
            </w:r>
            <w:r>
              <w:rPr>
                <w:rStyle w:val="51"/>
                <w:rFonts w:hint="eastAsia" w:ascii="仿宋" w:hAnsi="仿宋" w:eastAsia="仿宋" w:cs="仿宋"/>
                <w:b/>
                <w:sz w:val="21"/>
                <w:szCs w:val="21"/>
                <w:lang w:val="en-US" w:eastAsia="zh-CN"/>
              </w:rPr>
              <w:t>21</w:t>
            </w:r>
            <w:r>
              <w:rPr>
                <w:rStyle w:val="51"/>
                <w:rFonts w:hint="eastAsia" w:ascii="仿宋" w:hAnsi="仿宋" w:eastAsia="仿宋" w:cs="仿宋"/>
                <w:b/>
                <w:sz w:val="21"/>
                <w:szCs w:val="21"/>
              </w:rPr>
              <w:t>～202</w:t>
            </w:r>
            <w:r>
              <w:rPr>
                <w:rStyle w:val="51"/>
                <w:rFonts w:hint="eastAsia" w:ascii="仿宋" w:hAnsi="仿宋" w:eastAsia="仿宋" w:cs="仿宋"/>
                <w:b/>
                <w:sz w:val="21"/>
                <w:szCs w:val="21"/>
                <w:lang w:val="en-US" w:eastAsia="zh-CN"/>
              </w:rPr>
              <w:t>2</w:t>
            </w:r>
          </w:p>
        </w:tc>
        <w:tc>
          <w:tcPr>
            <w:tcW w:w="106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366260.04</w:t>
            </w:r>
          </w:p>
        </w:tc>
        <w:tc>
          <w:tcPr>
            <w:tcW w:w="65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71.5</w:t>
            </w:r>
          </w:p>
        </w:tc>
        <w:tc>
          <w:tcPr>
            <w:tcW w:w="81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121600</w:t>
            </w:r>
          </w:p>
        </w:tc>
        <w:tc>
          <w:tcPr>
            <w:tcW w:w="80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23.7</w:t>
            </w:r>
          </w:p>
        </w:tc>
        <w:tc>
          <w:tcPr>
            <w:tcW w:w="85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5264.47</w:t>
            </w:r>
          </w:p>
        </w:tc>
        <w:tc>
          <w:tcPr>
            <w:tcW w:w="7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10274</w:t>
            </w:r>
          </w:p>
        </w:tc>
        <w:tc>
          <w:tcPr>
            <w:tcW w:w="73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4132</w:t>
            </w:r>
          </w:p>
        </w:tc>
        <w:tc>
          <w:tcPr>
            <w:tcW w:w="89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0.81</w:t>
            </w:r>
          </w:p>
        </w:tc>
        <w:tc>
          <w:tcPr>
            <w:tcW w:w="6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Fonts w:hint="eastAsia" w:ascii="仿宋" w:hAnsi="仿宋" w:eastAsia="仿宋" w:cs="仿宋"/>
                <w:sz w:val="21"/>
                <w:szCs w:val="21"/>
              </w:rPr>
              <w:t>17.19</w:t>
            </w:r>
            <w:r>
              <w:rPr>
                <w:rFonts w:hint="eastAsia" w:ascii="仿宋" w:hAnsi="仿宋" w:eastAsia="仿宋" w:cs="仿宋"/>
                <w:sz w:val="21"/>
                <w:szCs w:val="21"/>
                <w:lang w:val="en-US" w:eastAsia="zh-CN"/>
              </w:rPr>
              <w:t>万</w:t>
            </w:r>
          </w:p>
        </w:tc>
        <w:tc>
          <w:tcPr>
            <w:tcW w:w="6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33.5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exact"/>
        </w:trPr>
        <w:tc>
          <w:tcPr>
            <w:tcW w:w="990" w:type="dxa"/>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rPr>
                <w:rStyle w:val="51"/>
                <w:rFonts w:hint="eastAsia" w:ascii="仿宋" w:hAnsi="仿宋" w:eastAsia="仿宋" w:cs="仿宋"/>
                <w:b/>
                <w:sz w:val="21"/>
                <w:szCs w:val="21"/>
                <w:lang w:val="en-US" w:eastAsia="zh-CN"/>
              </w:rPr>
            </w:pPr>
            <w:r>
              <w:rPr>
                <w:rStyle w:val="51"/>
                <w:rFonts w:hint="eastAsia" w:ascii="仿宋" w:hAnsi="仿宋" w:eastAsia="仿宋" w:cs="仿宋"/>
                <w:b/>
                <w:sz w:val="21"/>
                <w:szCs w:val="21"/>
              </w:rPr>
              <w:t>20</w:t>
            </w:r>
            <w:r>
              <w:rPr>
                <w:rStyle w:val="51"/>
                <w:rFonts w:hint="eastAsia" w:ascii="仿宋" w:hAnsi="仿宋" w:eastAsia="仿宋" w:cs="仿宋"/>
                <w:b/>
                <w:sz w:val="21"/>
                <w:szCs w:val="21"/>
                <w:lang w:val="en-US" w:eastAsia="zh-CN"/>
              </w:rPr>
              <w:t>22</w:t>
            </w:r>
            <w:r>
              <w:rPr>
                <w:rStyle w:val="51"/>
                <w:rFonts w:hint="eastAsia" w:ascii="仿宋" w:hAnsi="仿宋" w:eastAsia="仿宋" w:cs="仿宋"/>
                <w:b/>
                <w:sz w:val="21"/>
                <w:szCs w:val="21"/>
              </w:rPr>
              <w:t>～202</w:t>
            </w:r>
            <w:r>
              <w:rPr>
                <w:rStyle w:val="51"/>
                <w:rFonts w:hint="eastAsia" w:ascii="仿宋" w:hAnsi="仿宋" w:eastAsia="仿宋" w:cs="仿宋"/>
                <w:b/>
                <w:sz w:val="21"/>
                <w:szCs w:val="21"/>
                <w:lang w:val="en-US" w:eastAsia="zh-CN"/>
              </w:rPr>
              <w:t>3</w:t>
            </w:r>
          </w:p>
        </w:tc>
        <w:tc>
          <w:tcPr>
            <w:tcW w:w="106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sz w:val="21"/>
                <w:szCs w:val="21"/>
              </w:rPr>
            </w:pPr>
            <w:r>
              <w:rPr>
                <w:rFonts w:hint="eastAsia" w:ascii="仿宋" w:hAnsi="仿宋" w:eastAsia="仿宋" w:cs="仿宋"/>
                <w:sz w:val="21"/>
                <w:szCs w:val="21"/>
              </w:rPr>
              <w:t>366260.04</w:t>
            </w:r>
          </w:p>
        </w:tc>
        <w:tc>
          <w:tcPr>
            <w:tcW w:w="65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79.72</w:t>
            </w:r>
          </w:p>
        </w:tc>
        <w:tc>
          <w:tcPr>
            <w:tcW w:w="81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sz w:val="21"/>
                <w:szCs w:val="21"/>
              </w:rPr>
            </w:pPr>
            <w:r>
              <w:rPr>
                <w:rFonts w:hint="eastAsia" w:ascii="仿宋" w:hAnsi="仿宋" w:eastAsia="仿宋" w:cs="仿宋"/>
                <w:sz w:val="21"/>
                <w:szCs w:val="21"/>
              </w:rPr>
              <w:t>121600</w:t>
            </w:r>
          </w:p>
        </w:tc>
        <w:tc>
          <w:tcPr>
            <w:tcW w:w="801"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26.47</w:t>
            </w:r>
          </w:p>
        </w:tc>
        <w:tc>
          <w:tcPr>
            <w:tcW w:w="855"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4233.77</w:t>
            </w:r>
          </w:p>
        </w:tc>
        <w:tc>
          <w:tcPr>
            <w:tcW w:w="77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9216</w:t>
            </w:r>
          </w:p>
        </w:tc>
        <w:tc>
          <w:tcPr>
            <w:tcW w:w="733"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4132</w:t>
            </w:r>
          </w:p>
        </w:tc>
        <w:tc>
          <w:tcPr>
            <w:tcW w:w="896"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highlight w:val="none"/>
                <w:lang w:val="en-US" w:eastAsia="zh-CN"/>
              </w:rPr>
            </w:pPr>
            <w:r>
              <w:rPr>
                <w:rStyle w:val="51"/>
                <w:rFonts w:hint="eastAsia" w:ascii="仿宋" w:hAnsi="仿宋" w:eastAsia="仿宋" w:cs="仿宋"/>
                <w:sz w:val="21"/>
                <w:szCs w:val="21"/>
                <w:highlight w:val="none"/>
                <w:lang w:val="en-US" w:eastAsia="zh-CN"/>
              </w:rPr>
              <w:t>0.90</w:t>
            </w:r>
          </w:p>
        </w:tc>
        <w:tc>
          <w:tcPr>
            <w:tcW w:w="624"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Fonts w:hint="eastAsia" w:ascii="仿宋" w:hAnsi="仿宋" w:eastAsia="仿宋" w:cs="仿宋"/>
                <w:sz w:val="21"/>
                <w:szCs w:val="21"/>
              </w:rPr>
            </w:pPr>
            <w:r>
              <w:rPr>
                <w:rFonts w:hint="eastAsia" w:ascii="仿宋" w:hAnsi="仿宋" w:eastAsia="仿宋" w:cs="仿宋"/>
                <w:sz w:val="21"/>
                <w:szCs w:val="21"/>
              </w:rPr>
              <w:t>17.19</w:t>
            </w:r>
            <w:r>
              <w:rPr>
                <w:rFonts w:hint="eastAsia" w:ascii="仿宋" w:hAnsi="仿宋" w:eastAsia="仿宋" w:cs="仿宋"/>
                <w:sz w:val="21"/>
                <w:szCs w:val="21"/>
                <w:lang w:val="en-US" w:eastAsia="zh-CN"/>
              </w:rPr>
              <w:t>万</w:t>
            </w:r>
          </w:p>
        </w:tc>
        <w:tc>
          <w:tcPr>
            <w:tcW w:w="672" w:type="dxa"/>
            <w:tcBorders>
              <w:top w:val="single" w:color="000000" w:sz="4" w:space="0"/>
              <w:left w:val="single" w:color="000000" w:sz="4" w:space="0"/>
              <w:bottom w:val="single" w:color="000000" w:sz="4" w:space="0"/>
              <w:right w:val="single" w:color="000000" w:sz="4" w:space="0"/>
            </w:tcBorders>
            <w:vAlign w:val="center"/>
          </w:tcPr>
          <w:p>
            <w:pPr>
              <w:snapToGrid w:val="0"/>
              <w:spacing w:line="240" w:lineRule="atLeast"/>
              <w:jc w:val="center"/>
              <w:rPr>
                <w:rStyle w:val="51"/>
                <w:rFonts w:hint="eastAsia" w:ascii="仿宋" w:hAnsi="仿宋" w:eastAsia="仿宋" w:cs="仿宋"/>
                <w:sz w:val="21"/>
                <w:szCs w:val="21"/>
                <w:lang w:val="en-US" w:eastAsia="zh-CN"/>
              </w:rPr>
            </w:pPr>
            <w:r>
              <w:rPr>
                <w:rStyle w:val="51"/>
                <w:rFonts w:hint="eastAsia" w:ascii="仿宋" w:hAnsi="仿宋" w:eastAsia="仿宋" w:cs="仿宋"/>
                <w:sz w:val="21"/>
                <w:szCs w:val="21"/>
                <w:lang w:val="en-US" w:eastAsia="zh-CN"/>
              </w:rPr>
              <w:t>97.4</w:t>
            </w:r>
          </w:p>
        </w:tc>
      </w:tr>
    </w:tbl>
    <w:p>
      <w:pPr>
        <w:spacing w:line="240" w:lineRule="auto"/>
        <w:rPr>
          <w:rFonts w:hint="eastAsia" w:ascii="宋体" w:hAnsi="宋体" w:eastAsia="宋体" w:cs="宋体"/>
          <w:b/>
          <w:sz w:val="24"/>
          <w:szCs w:val="24"/>
        </w:rPr>
      </w:pPr>
    </w:p>
    <w:p>
      <w:pPr>
        <w:spacing w:line="360" w:lineRule="auto"/>
        <w:ind w:firstLine="518" w:firstLineChars="247"/>
        <w:rPr>
          <w:b w:val="0"/>
          <w:bCs/>
        </w:rPr>
      </w:pPr>
      <w:r>
        <w:rPr>
          <w:b w:val="0"/>
          <w:bCs/>
        </w:rPr>
        <w:drawing>
          <wp:inline distT="0" distB="0" distL="114300" distR="114300">
            <wp:extent cx="4319270" cy="2868295"/>
            <wp:effectExtent l="0" t="0" r="5080" b="8255"/>
            <wp:docPr id="7" name="图片 2" descr="C:\Users\Administrator\Desktop\计算机网络实训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esktop\计算机网络实训室.jpg"/>
                    <pic:cNvPicPr>
                      <a:picLocks noChangeAspect="1"/>
                    </pic:cNvPicPr>
                  </pic:nvPicPr>
                  <pic:blipFill>
                    <a:blip r:embed="rId7"/>
                    <a:stretch>
                      <a:fillRect/>
                    </a:stretch>
                  </pic:blipFill>
                  <pic:spPr>
                    <a:xfrm>
                      <a:off x="0" y="0"/>
                      <a:ext cx="4319270" cy="2868295"/>
                    </a:xfrm>
                    <a:prstGeom prst="rect">
                      <a:avLst/>
                    </a:prstGeom>
                    <a:noFill/>
                    <a:ln>
                      <a:noFill/>
                    </a:ln>
                  </pic:spPr>
                </pic:pic>
              </a:graphicData>
            </a:graphic>
          </wp:inline>
        </w:drawing>
      </w:r>
    </w:p>
    <w:p>
      <w:pPr>
        <w:spacing w:line="360" w:lineRule="auto"/>
        <w:ind w:firstLine="3484" w:firstLineChars="1446"/>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实训学习</w:t>
      </w:r>
    </w:p>
    <w:p>
      <w:pPr>
        <w:pStyle w:val="3"/>
        <w:jc w:val="center"/>
        <w:outlineLvl w:val="9"/>
        <w:rPr>
          <w:sz w:val="20"/>
        </w:rPr>
      </w:pPr>
      <w:bookmarkStart w:id="5" w:name="_Toc2926"/>
      <w:r>
        <w:rPr>
          <w:sz w:val="20"/>
        </w:rPr>
        <w:drawing>
          <wp:inline distT="0" distB="0" distL="114300" distR="114300">
            <wp:extent cx="4241800" cy="3181350"/>
            <wp:effectExtent l="0" t="0" r="6350" b="0"/>
            <wp:docPr id="8" name="图片 3" descr="IMG_20220925_09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0220925_093824"/>
                    <pic:cNvPicPr>
                      <a:picLocks noChangeAspect="1"/>
                    </pic:cNvPicPr>
                  </pic:nvPicPr>
                  <pic:blipFill>
                    <a:blip r:embed="rId8"/>
                    <a:stretch>
                      <a:fillRect/>
                    </a:stretch>
                  </pic:blipFill>
                  <pic:spPr>
                    <a:xfrm>
                      <a:off x="0" y="0"/>
                      <a:ext cx="4241800" cy="3181350"/>
                    </a:xfrm>
                    <a:prstGeom prst="rect">
                      <a:avLst/>
                    </a:prstGeom>
                    <a:noFill/>
                    <a:ln>
                      <a:noFill/>
                    </a:ln>
                  </pic:spPr>
                </pic:pic>
              </a:graphicData>
            </a:graphic>
          </wp:inline>
        </w:drawing>
      </w:r>
      <w:bookmarkEnd w:id="5"/>
    </w:p>
    <w:p>
      <w:pPr>
        <w:ind w:firstLine="3614" w:firstLineChars="150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开放式阅览室</w:t>
      </w:r>
    </w:p>
    <w:p>
      <w:pPr>
        <w:spacing w:line="360" w:lineRule="auto"/>
        <w:ind w:firstLine="602" w:firstLineChars="200"/>
        <w:outlineLvl w:val="0"/>
        <w:rPr>
          <w:rFonts w:hint="default" w:ascii="仿宋" w:hAnsi="仿宋" w:eastAsia="仿宋" w:cs="仿宋"/>
          <w:b/>
          <w:sz w:val="30"/>
          <w:szCs w:val="30"/>
          <w:lang w:val="en-US" w:eastAsia="zh-CN"/>
        </w:rPr>
      </w:pPr>
      <w:bookmarkStart w:id="6" w:name="_Toc26944"/>
      <w:r>
        <w:rPr>
          <w:rFonts w:hint="eastAsia" w:ascii="仿宋" w:hAnsi="仿宋" w:eastAsia="仿宋" w:cs="仿宋"/>
          <w:b/>
          <w:sz w:val="30"/>
          <w:szCs w:val="30"/>
          <w:lang w:val="en-US" w:eastAsia="zh-CN"/>
        </w:rPr>
        <w:t>二、人才培养</w:t>
      </w:r>
      <w:bookmarkEnd w:id="6"/>
    </w:p>
    <w:p>
      <w:pPr>
        <w:spacing w:line="360" w:lineRule="auto"/>
        <w:ind w:firstLine="443" w:firstLineChars="147"/>
        <w:outlineLvl w:val="1"/>
        <w:rPr>
          <w:rFonts w:hint="default" w:ascii="仿宋" w:hAnsi="仿宋" w:eastAsia="仿宋" w:cs="仿宋"/>
          <w:b/>
          <w:sz w:val="30"/>
          <w:szCs w:val="30"/>
          <w:lang w:val="en-US" w:eastAsia="zh-CN"/>
        </w:rPr>
      </w:pPr>
      <w:r>
        <w:rPr>
          <w:rFonts w:hint="eastAsia" w:ascii="仿宋" w:hAnsi="仿宋" w:eastAsia="仿宋" w:cs="仿宋"/>
          <w:b/>
          <w:sz w:val="30"/>
          <w:szCs w:val="30"/>
        </w:rPr>
        <w:t xml:space="preserve"> </w:t>
      </w:r>
      <w:r>
        <w:rPr>
          <w:rFonts w:hint="eastAsia" w:ascii="仿宋" w:hAnsi="仿宋" w:eastAsia="仿宋" w:cs="仿宋"/>
          <w:b/>
          <w:sz w:val="30"/>
          <w:szCs w:val="30"/>
          <w:lang w:val="en-US" w:eastAsia="zh-CN"/>
        </w:rPr>
        <w:t xml:space="preserve"> </w:t>
      </w:r>
      <w:bookmarkStart w:id="7" w:name="_Toc19337"/>
      <w:r>
        <w:rPr>
          <w:rFonts w:hint="eastAsia" w:ascii="仿宋" w:hAnsi="仿宋" w:eastAsia="仿宋" w:cs="仿宋"/>
          <w:b/>
          <w:sz w:val="30"/>
          <w:szCs w:val="30"/>
          <w:lang w:val="en-US" w:eastAsia="zh-CN"/>
        </w:rPr>
        <w:t>2.1立德树人</w:t>
      </w:r>
      <w:bookmarkEnd w:id="7"/>
    </w:p>
    <w:p>
      <w:pPr>
        <w:spacing w:line="360" w:lineRule="auto"/>
        <w:ind w:firstLine="741" w:firstLineChars="247"/>
        <w:rPr>
          <w:rFonts w:hint="eastAsia" w:ascii="仿宋" w:hAnsi="仿宋" w:eastAsia="仿宋" w:cs="仿宋"/>
          <w:b w:val="0"/>
          <w:bCs/>
          <w:sz w:val="30"/>
          <w:szCs w:val="30"/>
        </w:rPr>
      </w:pPr>
      <w:r>
        <w:rPr>
          <w:rFonts w:hint="eastAsia" w:ascii="仿宋" w:hAnsi="仿宋" w:eastAsia="仿宋" w:cs="仿宋"/>
          <w:b w:val="0"/>
          <w:bCs/>
          <w:sz w:val="30"/>
          <w:szCs w:val="30"/>
        </w:rPr>
        <w:t>学校践行立德树人根本任务，积极推进思想政治课程改革，发挥思想政治课主阵地作用；创新思想政治课教学模式，推行基于网络学习平台的混合教学模式；</w:t>
      </w:r>
      <w:r>
        <w:rPr>
          <w:rFonts w:hint="eastAsia" w:ascii="仿宋" w:hAnsi="仿宋" w:eastAsia="仿宋" w:cs="仿宋"/>
          <w:b w:val="0"/>
          <w:bCs/>
          <w:sz w:val="30"/>
          <w:szCs w:val="30"/>
          <w:lang w:val="en-US" w:eastAsia="zh-CN"/>
        </w:rPr>
        <w:t>目前学校有</w:t>
      </w:r>
      <w:r>
        <w:rPr>
          <w:rFonts w:hint="eastAsia" w:ascii="仿宋" w:hAnsi="仿宋" w:eastAsia="仿宋" w:cs="仿宋"/>
          <w:b w:val="0"/>
          <w:bCs/>
          <w:sz w:val="30"/>
          <w:szCs w:val="30"/>
          <w:lang w:eastAsia="zh-CN"/>
        </w:rPr>
        <w:t>“范峰德育省级名师工作坊项目”、“李媛明心理健康教育省级名师工作坊项目”</w:t>
      </w:r>
      <w:r>
        <w:rPr>
          <w:rFonts w:hint="eastAsia" w:ascii="仿宋" w:hAnsi="仿宋" w:eastAsia="仿宋" w:cs="仿宋"/>
          <w:b w:val="0"/>
          <w:bCs/>
          <w:sz w:val="30"/>
          <w:szCs w:val="30"/>
          <w:lang w:val="en-US" w:eastAsia="zh-CN"/>
        </w:rPr>
        <w:t>2</w:t>
      </w:r>
      <w:r>
        <w:rPr>
          <w:rFonts w:hint="eastAsia" w:ascii="仿宋" w:hAnsi="仿宋" w:eastAsia="仿宋" w:cs="仿宋"/>
          <w:b w:val="0"/>
          <w:bCs/>
          <w:sz w:val="30"/>
          <w:szCs w:val="30"/>
        </w:rPr>
        <w:t>个德育品牌项目</w:t>
      </w:r>
      <w:r>
        <w:rPr>
          <w:rFonts w:hint="eastAsia" w:ascii="仿宋" w:hAnsi="仿宋" w:eastAsia="仿宋" w:cs="仿宋"/>
          <w:b w:val="0"/>
          <w:bCs/>
          <w:sz w:val="30"/>
          <w:szCs w:val="30"/>
          <w:lang w:eastAsia="zh-CN"/>
        </w:rPr>
        <w:t>，</w:t>
      </w:r>
      <w:r>
        <w:rPr>
          <w:rFonts w:hint="eastAsia" w:ascii="仿宋" w:hAnsi="仿宋" w:eastAsia="仿宋" w:cs="仿宋"/>
          <w:b w:val="0"/>
          <w:bCs/>
          <w:sz w:val="30"/>
          <w:szCs w:val="30"/>
        </w:rPr>
        <w:t>1个省级名班主任工作室，1名市级德育学科带头人。2022年入选安徽省“三全育人”典型学校培育建设项目。</w:t>
      </w:r>
    </w:p>
    <w:p>
      <w:pPr>
        <w:spacing w:line="360" w:lineRule="auto"/>
        <w:ind w:firstLine="741" w:firstLineChars="247"/>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学校坚持</w:t>
      </w:r>
      <w:r>
        <w:rPr>
          <w:rFonts w:hint="eastAsia" w:ascii="仿宋" w:hAnsi="仿宋" w:eastAsia="仿宋" w:cs="仿宋"/>
          <w:sz w:val="30"/>
          <w:szCs w:val="30"/>
        </w:rPr>
        <w:t>用“三全育人”思想指导学生教育，全面理解“三全育人”工作涵义</w:t>
      </w:r>
      <w:r>
        <w:rPr>
          <w:rFonts w:hint="eastAsia" w:ascii="仿宋" w:hAnsi="仿宋" w:eastAsia="仿宋" w:cs="仿宋"/>
          <w:sz w:val="30"/>
          <w:szCs w:val="30"/>
          <w:lang w:eastAsia="zh-CN"/>
        </w:rPr>
        <w:t>，</w:t>
      </w:r>
      <w:r>
        <w:rPr>
          <w:rFonts w:hint="eastAsia" w:ascii="仿宋" w:hAnsi="仿宋" w:eastAsia="仿宋" w:cs="仿宋"/>
          <w:sz w:val="30"/>
          <w:szCs w:val="30"/>
        </w:rPr>
        <w:t>逐步完善“三全育人”工作机制</w:t>
      </w:r>
      <w:r>
        <w:rPr>
          <w:rFonts w:hint="eastAsia" w:ascii="仿宋" w:hAnsi="仿宋" w:eastAsia="仿宋" w:cs="仿宋"/>
          <w:sz w:val="30"/>
          <w:szCs w:val="30"/>
          <w:lang w:eastAsia="zh-CN"/>
        </w:rPr>
        <w:t>，</w:t>
      </w:r>
      <w:r>
        <w:rPr>
          <w:rFonts w:hint="eastAsia" w:ascii="仿宋" w:hAnsi="仿宋" w:eastAsia="仿宋" w:cs="仿宋"/>
          <w:sz w:val="30"/>
          <w:szCs w:val="30"/>
        </w:rPr>
        <w:t>动员和引导我校广大教职工牢固树立“育人为本、德育为先”的工作理念，全员育人、全程育人、全方位育人</w:t>
      </w:r>
      <w:r>
        <w:rPr>
          <w:rFonts w:hint="eastAsia" w:ascii="仿宋" w:hAnsi="仿宋" w:eastAsia="仿宋" w:cs="仿宋"/>
          <w:sz w:val="30"/>
          <w:szCs w:val="30"/>
          <w:lang w:eastAsia="zh-CN"/>
        </w:rPr>
        <w:t>，</w:t>
      </w:r>
      <w:r>
        <w:rPr>
          <w:rFonts w:hint="eastAsia" w:ascii="仿宋" w:hAnsi="仿宋" w:eastAsia="仿宋" w:cs="仿宋"/>
          <w:sz w:val="30"/>
          <w:szCs w:val="30"/>
        </w:rPr>
        <w:t>进一步将思想道德建设</w:t>
      </w:r>
      <w:r>
        <w:rPr>
          <w:rFonts w:hint="eastAsia" w:ascii="仿宋" w:hAnsi="仿宋" w:eastAsia="仿宋" w:cs="仿宋"/>
          <w:sz w:val="30"/>
          <w:szCs w:val="30"/>
          <w:lang w:val="en-US" w:eastAsia="zh-CN"/>
        </w:rPr>
        <w:t>和素质教育</w:t>
      </w:r>
      <w:r>
        <w:rPr>
          <w:rFonts w:hint="eastAsia" w:ascii="仿宋" w:hAnsi="仿宋" w:eastAsia="仿宋" w:cs="仿宋"/>
          <w:sz w:val="30"/>
          <w:szCs w:val="30"/>
        </w:rPr>
        <w:t>贯穿学生</w:t>
      </w:r>
      <w:r>
        <w:rPr>
          <w:rFonts w:hint="eastAsia" w:ascii="仿宋" w:hAnsi="仿宋" w:eastAsia="仿宋" w:cs="仿宋"/>
          <w:sz w:val="30"/>
          <w:szCs w:val="30"/>
          <w:lang w:val="en-US" w:eastAsia="zh-CN"/>
        </w:rPr>
        <w:t>的</w:t>
      </w:r>
      <w:r>
        <w:rPr>
          <w:rFonts w:hint="eastAsia" w:ascii="仿宋" w:hAnsi="仿宋" w:eastAsia="仿宋" w:cs="仿宋"/>
          <w:sz w:val="30"/>
          <w:szCs w:val="30"/>
        </w:rPr>
        <w:t>生活学习中</w:t>
      </w:r>
      <w:r>
        <w:rPr>
          <w:rFonts w:hint="eastAsia" w:ascii="仿宋" w:hAnsi="仿宋" w:eastAsia="仿宋" w:cs="仿宋"/>
          <w:sz w:val="30"/>
          <w:szCs w:val="30"/>
          <w:lang w:val="en-US" w:eastAsia="zh-CN"/>
        </w:rPr>
        <w:t>，促进学生全面发展。</w:t>
      </w:r>
    </w:p>
    <w:p>
      <w:pPr>
        <w:spacing w:line="360" w:lineRule="auto"/>
        <w:ind w:firstLine="741" w:firstLineChars="247"/>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校园文化建设特色鲜明，“校园文化节”“第二课堂”“教室文化建设”等活动丰富多彩。建有标准化的心理咨询辅导室，定期筛查问题学生、溯源了解，建立档案。学校通过课间操、体育课程保障学生锻炼时间，学生体质健康达标率符合要求。</w:t>
      </w:r>
    </w:p>
    <w:p>
      <w:pPr>
        <w:spacing w:line="360" w:lineRule="auto"/>
        <w:ind w:firstLine="741" w:firstLineChars="247"/>
        <w:rPr>
          <w:rFonts w:hint="eastAsia" w:ascii="仿宋" w:hAnsi="仿宋" w:eastAsia="仿宋" w:cs="仿宋"/>
          <w:b/>
          <w:kern w:val="0"/>
          <w:sz w:val="30"/>
          <w:szCs w:val="30"/>
        </w:rPr>
      </w:pPr>
      <w:r>
        <w:rPr>
          <w:rFonts w:hint="eastAsia" w:ascii="仿宋" w:hAnsi="仿宋" w:eastAsia="仿宋" w:cs="仿宋"/>
          <w:sz w:val="30"/>
          <w:szCs w:val="30"/>
          <w:lang w:val="en-US" w:eastAsia="zh-CN"/>
        </w:rPr>
        <w:t>学校统一认识并强化“课程思政”和思政课程协同育人。学校教研室专项负责“课程思政”工作的开展，制定课程思政实施办法，并组织开展各类“课程思政”专题培训活动，各专业组组织课程思政集体备课活动，认真挖掘专业课程中的思政元素积极开展“课程思政”工作。2023年阜阳市首批“课程思政”说课比赛中，学校有5组选手通过预赛选拔进入决赛阶段。</w:t>
      </w:r>
    </w:p>
    <w:p>
      <w:pPr>
        <w:adjustRightInd w:val="0"/>
        <w:snapToGrid w:val="0"/>
        <w:jc w:val="center"/>
        <w:outlineLvl w:val="2"/>
        <w:rPr>
          <w:rFonts w:hint="eastAsia" w:ascii="仿宋" w:hAnsi="仿宋" w:eastAsia="仿宋" w:cs="仿宋"/>
          <w:b/>
          <w:kern w:val="0"/>
          <w:sz w:val="28"/>
          <w:szCs w:val="28"/>
        </w:rPr>
      </w:pPr>
      <w:bookmarkStart w:id="8" w:name="_Toc28702"/>
      <w:r>
        <w:rPr>
          <w:rFonts w:hint="eastAsia" w:ascii="仿宋" w:hAnsi="仿宋" w:eastAsia="仿宋" w:cs="仿宋"/>
          <w:b/>
          <w:kern w:val="0"/>
          <w:sz w:val="28"/>
          <w:szCs w:val="28"/>
        </w:rPr>
        <w:t>表2</w:t>
      </w:r>
      <w:r>
        <w:rPr>
          <w:rFonts w:hint="eastAsia" w:ascii="仿宋" w:hAnsi="仿宋" w:eastAsia="仿宋" w:cs="仿宋"/>
          <w:b/>
          <w:kern w:val="0"/>
          <w:sz w:val="28"/>
          <w:szCs w:val="28"/>
          <w:lang w:val="en-US" w:eastAsia="zh-CN"/>
        </w:rPr>
        <w:t xml:space="preserve">  近两年</w:t>
      </w:r>
      <w:r>
        <w:rPr>
          <w:rFonts w:hint="eastAsia" w:ascii="仿宋" w:hAnsi="仿宋" w:eastAsia="仿宋" w:cs="仿宋"/>
          <w:b/>
          <w:kern w:val="0"/>
          <w:sz w:val="28"/>
          <w:szCs w:val="28"/>
        </w:rPr>
        <w:t>中等职业学校三全育人实施情况一览表</w:t>
      </w:r>
      <w:bookmarkEnd w:id="8"/>
    </w:p>
    <w:tbl>
      <w:tblPr>
        <w:tblStyle w:val="17"/>
        <w:tblpPr w:leftFromText="180" w:rightFromText="180" w:vertAnchor="text" w:horzAnchor="margin" w:tblpXSpec="center" w:tblpY="173"/>
        <w:tblOverlap w:val="never"/>
        <w:tblW w:w="7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569"/>
        <w:gridCol w:w="1830"/>
        <w:gridCol w:w="1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1276"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体育课专任教师</w:t>
            </w:r>
          </w:p>
        </w:tc>
        <w:tc>
          <w:tcPr>
            <w:tcW w:w="1569"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美育课专任教师</w:t>
            </w:r>
          </w:p>
        </w:tc>
        <w:tc>
          <w:tcPr>
            <w:tcW w:w="1830"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思想政治课专任教师</w:t>
            </w:r>
          </w:p>
        </w:tc>
        <w:tc>
          <w:tcPr>
            <w:tcW w:w="1504"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班主任</w:t>
            </w:r>
            <w:r>
              <w:rPr>
                <w:rFonts w:hint="eastAsia" w:ascii="仿宋" w:hAnsi="仿宋" w:eastAsia="仿宋" w:cs="仿宋"/>
                <w:b/>
                <w:bCs/>
                <w:sz w:val="21"/>
                <w:szCs w:val="21"/>
                <w:lang w:val="en-US" w:eastAsia="zh-CN"/>
              </w:rPr>
              <w:t>人</w:t>
            </w:r>
            <w:r>
              <w:rPr>
                <w:rFonts w:hint="eastAsia" w:ascii="仿宋" w:hAnsi="仿宋" w:eastAsia="仿宋" w:cs="仿宋"/>
                <w:b/>
                <w:bCs/>
                <w:sz w:val="21"/>
                <w:szCs w:val="21"/>
              </w:rPr>
              <w:t>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pPr>
              <w:spacing w:line="240" w:lineRule="atLeast"/>
              <w:jc w:val="center"/>
              <w:rPr>
                <w:rFonts w:hint="eastAsia" w:ascii="仿宋" w:hAnsi="仿宋" w:eastAsia="仿宋" w:cs="仿宋"/>
                <w:b/>
                <w:sz w:val="21"/>
                <w:szCs w:val="21"/>
                <w:lang w:eastAsia="zh-CN"/>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1</w:t>
            </w: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p>
        </w:tc>
        <w:tc>
          <w:tcPr>
            <w:tcW w:w="127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56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c>
          <w:tcPr>
            <w:tcW w:w="1830"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15</w:t>
            </w:r>
          </w:p>
        </w:tc>
        <w:tc>
          <w:tcPr>
            <w:tcW w:w="1504"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pPr>
              <w:spacing w:line="240" w:lineRule="atLeast"/>
              <w:jc w:val="center"/>
              <w:rPr>
                <w:rFonts w:hint="eastAsia" w:ascii="仿宋" w:hAnsi="仿宋" w:eastAsia="仿宋" w:cs="仿宋"/>
                <w:b/>
                <w:sz w:val="21"/>
                <w:szCs w:val="21"/>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r>
              <w:rPr>
                <w:rFonts w:hint="eastAsia" w:ascii="仿宋" w:hAnsi="仿宋" w:eastAsia="仿宋" w:cs="仿宋"/>
                <w:b/>
                <w:sz w:val="21"/>
                <w:szCs w:val="21"/>
              </w:rPr>
              <w:t>～202</w:t>
            </w:r>
            <w:r>
              <w:rPr>
                <w:rFonts w:hint="eastAsia" w:ascii="仿宋" w:hAnsi="仿宋" w:eastAsia="仿宋" w:cs="仿宋"/>
                <w:b/>
                <w:sz w:val="21"/>
                <w:szCs w:val="21"/>
                <w:lang w:val="en-US" w:eastAsia="zh-CN"/>
              </w:rPr>
              <w:t>3</w:t>
            </w:r>
          </w:p>
        </w:tc>
        <w:tc>
          <w:tcPr>
            <w:tcW w:w="127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10</w:t>
            </w:r>
          </w:p>
        </w:tc>
        <w:tc>
          <w:tcPr>
            <w:tcW w:w="156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20</w:t>
            </w:r>
          </w:p>
        </w:tc>
        <w:tc>
          <w:tcPr>
            <w:tcW w:w="1830"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w:t>
            </w:r>
          </w:p>
        </w:tc>
        <w:tc>
          <w:tcPr>
            <w:tcW w:w="1504"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94</w:t>
            </w:r>
          </w:p>
        </w:tc>
      </w:tr>
    </w:tbl>
    <w:p>
      <w:pPr>
        <w:spacing w:line="360" w:lineRule="auto"/>
        <w:ind w:firstLine="480" w:firstLineChars="200"/>
        <w:jc w:val="center"/>
        <w:rPr>
          <w:rFonts w:hint="eastAsia" w:ascii="仿宋" w:hAnsi="仿宋" w:eastAsia="仿宋" w:cs="仿宋"/>
          <w:b/>
          <w:sz w:val="32"/>
          <w:szCs w:val="32"/>
          <w:lang w:val="en-US" w:eastAsia="zh-CN"/>
        </w:rPr>
      </w:pPr>
      <w:r>
        <w:rPr>
          <w:rFonts w:ascii="宋体" w:hAnsi="宋体" w:eastAsia="宋体" w:cs="宋体"/>
          <w:sz w:val="24"/>
          <w:szCs w:val="24"/>
        </w:rPr>
        <w:drawing>
          <wp:inline distT="0" distB="0" distL="114300" distR="114300">
            <wp:extent cx="4524375" cy="3469005"/>
            <wp:effectExtent l="0" t="0" r="9525" b="17145"/>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9"/>
                    <a:stretch>
                      <a:fillRect/>
                    </a:stretch>
                  </pic:blipFill>
                  <pic:spPr>
                    <a:xfrm>
                      <a:off x="0" y="0"/>
                      <a:ext cx="4524375" cy="3469005"/>
                    </a:xfrm>
                    <a:prstGeom prst="rect">
                      <a:avLst/>
                    </a:prstGeom>
                    <a:noFill/>
                    <a:ln w="9525">
                      <a:noFill/>
                    </a:ln>
                  </pic:spPr>
                </pic:pic>
              </a:graphicData>
            </a:graphic>
          </wp:inline>
        </w:drawing>
      </w:r>
    </w:p>
    <w:p>
      <w:pPr>
        <w:spacing w:line="360" w:lineRule="auto"/>
        <w:ind w:firstLine="482" w:firstLineChars="200"/>
        <w:jc w:val="center"/>
        <w:rPr>
          <w:rFonts w:hint="eastAsia" w:ascii="仿宋" w:hAnsi="仿宋" w:eastAsia="仿宋" w:cs="仿宋"/>
          <w:b/>
          <w:sz w:val="24"/>
          <w:szCs w:val="24"/>
          <w:lang w:val="en-US" w:eastAsia="zh-CN"/>
        </w:rPr>
      </w:pPr>
      <w:r>
        <w:rPr>
          <w:rFonts w:hint="eastAsia" w:ascii="仿宋" w:hAnsi="仿宋" w:eastAsia="仿宋" w:cs="仿宋"/>
          <w:b/>
          <w:sz w:val="24"/>
          <w:szCs w:val="24"/>
          <w:lang w:val="en-US" w:eastAsia="zh-CN"/>
        </w:rPr>
        <w:t>“开学第一讲——思想政治课”</w:t>
      </w:r>
    </w:p>
    <w:p>
      <w:pPr>
        <w:spacing w:line="360" w:lineRule="auto"/>
        <w:jc w:val="center"/>
        <w:rPr>
          <w:rFonts w:hint="eastAsia" w:ascii="仿宋" w:hAnsi="仿宋" w:eastAsia="仿宋" w:cs="仿宋"/>
          <w:b/>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553585" cy="2872105"/>
            <wp:effectExtent l="0" t="0" r="18415" b="4445"/>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10"/>
                    <a:stretch>
                      <a:fillRect/>
                    </a:stretch>
                  </pic:blipFill>
                  <pic:spPr>
                    <a:xfrm>
                      <a:off x="0" y="0"/>
                      <a:ext cx="4553585" cy="2872105"/>
                    </a:xfrm>
                    <a:prstGeom prst="rect">
                      <a:avLst/>
                    </a:prstGeom>
                    <a:noFill/>
                    <a:ln w="9525">
                      <a:noFill/>
                    </a:ln>
                  </pic:spPr>
                </pic:pic>
              </a:graphicData>
            </a:graphic>
          </wp:inline>
        </w:drawing>
      </w:r>
    </w:p>
    <w:p>
      <w:pPr>
        <w:spacing w:line="360" w:lineRule="auto"/>
        <w:ind w:firstLine="482" w:firstLineChars="200"/>
        <w:jc w:val="center"/>
        <w:rPr>
          <w:rFonts w:hint="eastAsia" w:ascii="仿宋" w:hAnsi="仿宋" w:eastAsia="仿宋" w:cs="仿宋"/>
          <w:b/>
          <w:sz w:val="30"/>
          <w:szCs w:val="30"/>
          <w:lang w:val="en-US" w:eastAsia="zh-CN"/>
        </w:rPr>
      </w:pPr>
      <w:bookmarkStart w:id="9" w:name="_Toc9216"/>
      <w:r>
        <w:rPr>
          <w:rFonts w:hint="eastAsia" w:ascii="仿宋" w:hAnsi="仿宋" w:eastAsia="仿宋" w:cs="仿宋"/>
          <w:b/>
          <w:sz w:val="24"/>
          <w:szCs w:val="24"/>
          <w:lang w:val="en-US" w:eastAsia="zh-CN"/>
        </w:rPr>
        <w:t>学校党委思想政治课建设专题会议</w:t>
      </w:r>
    </w:p>
    <w:p>
      <w:pPr>
        <w:spacing w:line="360" w:lineRule="auto"/>
        <w:ind w:firstLine="602" w:firstLineChars="200"/>
        <w:outlineLvl w:val="1"/>
        <w:rPr>
          <w:rFonts w:hint="default" w:ascii="仿宋" w:hAnsi="仿宋" w:eastAsia="仿宋" w:cs="仿宋"/>
          <w:b/>
          <w:sz w:val="30"/>
          <w:szCs w:val="30"/>
          <w:lang w:val="en-US" w:eastAsia="zh-CN"/>
        </w:rPr>
      </w:pPr>
      <w:r>
        <w:rPr>
          <w:rFonts w:hint="eastAsia" w:ascii="仿宋" w:hAnsi="仿宋" w:eastAsia="仿宋" w:cs="仿宋"/>
          <w:b/>
          <w:sz w:val="30"/>
          <w:szCs w:val="30"/>
          <w:lang w:val="en-US" w:eastAsia="zh-CN"/>
        </w:rPr>
        <w:t>2.2能成才</w:t>
      </w:r>
      <w:bookmarkEnd w:id="9"/>
    </w:p>
    <w:p>
      <w:pPr>
        <w:spacing w:line="240" w:lineRule="auto"/>
        <w:ind w:firstLine="600" w:firstLineChars="200"/>
        <w:rPr>
          <w:rFonts w:hint="eastAsia" w:ascii="仿宋" w:hAnsi="仿宋" w:eastAsia="仿宋" w:cs="仿宋"/>
          <w:b w:val="0"/>
          <w:bCs/>
          <w:sz w:val="30"/>
          <w:szCs w:val="30"/>
          <w:lang w:val="en-US" w:eastAsia="zh-CN"/>
        </w:rPr>
      </w:pPr>
      <w:r>
        <w:rPr>
          <w:rFonts w:hint="eastAsia" w:ascii="仿宋" w:hAnsi="仿宋" w:eastAsia="仿宋" w:cs="仿宋"/>
          <w:b w:val="0"/>
          <w:bCs/>
          <w:sz w:val="30"/>
          <w:szCs w:val="30"/>
          <w:lang w:eastAsia="zh-CN"/>
        </w:rPr>
        <w:t>学校积极响应教育部提出的“普教看高考，职教看大赛”改革思路，将职业技能竞赛的精髓融合在学校的专业建设、教学改革和学生培养工作中，不断更新教学育人观念。</w:t>
      </w:r>
      <w:r>
        <w:rPr>
          <w:rFonts w:hint="eastAsia" w:ascii="仿宋" w:hAnsi="仿宋" w:eastAsia="仿宋" w:cs="仿宋"/>
          <w:b w:val="0"/>
          <w:bCs/>
          <w:sz w:val="30"/>
          <w:szCs w:val="30"/>
          <w:lang w:val="en-US" w:eastAsia="zh-CN"/>
        </w:rPr>
        <w:t xml:space="preserve">    </w:t>
      </w:r>
    </w:p>
    <w:p>
      <w:pPr>
        <w:spacing w:line="240" w:lineRule="auto"/>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学校成立技能竞赛领导小组，制定技能竞赛管理办法，积极动员教师及学生参与到技能竞赛的活动中。在2022-2023年度职业院校技能大赛（中职组）中，学校共获得国家二等奖1项，省级一等奖2项、省级二等奖1项、省级三等奖4项。在2023年国赛中，我校选手获得国家三等奖1项。在即将开始的安徽省2023-2024年度职业院校技能大赛（中职组）中，我校有13个赛项入围安徽省选拔赛。</w:t>
      </w:r>
    </w:p>
    <w:p>
      <w:pPr>
        <w:spacing w:line="360" w:lineRule="auto"/>
        <w:ind w:firstLine="600" w:firstLineChars="200"/>
        <w:rPr>
          <w:rFonts w:hint="eastAsia" w:ascii="仿宋" w:hAnsi="仿宋" w:eastAsia="仿宋" w:cs="仿宋"/>
          <w:sz w:val="30"/>
          <w:szCs w:val="30"/>
          <w:lang w:val="en-US" w:eastAsia="zh-CN"/>
        </w:rPr>
      </w:pPr>
      <w:r>
        <w:rPr>
          <w:rFonts w:hint="eastAsia" w:ascii="仿宋" w:hAnsi="仿宋" w:eastAsia="仿宋" w:cs="仿宋"/>
          <w:b w:val="0"/>
          <w:bCs/>
          <w:sz w:val="30"/>
          <w:szCs w:val="30"/>
          <w:lang w:eastAsia="zh-CN"/>
        </w:rPr>
        <w:t>学校注重</w:t>
      </w:r>
      <w:r>
        <w:rPr>
          <w:rFonts w:hint="eastAsia" w:ascii="仿宋" w:hAnsi="仿宋" w:eastAsia="仿宋" w:cs="仿宋"/>
          <w:b w:val="0"/>
          <w:bCs/>
          <w:sz w:val="30"/>
          <w:szCs w:val="30"/>
          <w:lang w:val="en-US" w:eastAsia="zh-CN"/>
        </w:rPr>
        <w:t>学生创新</w:t>
      </w:r>
      <w:r>
        <w:rPr>
          <w:rFonts w:hint="eastAsia" w:ascii="仿宋" w:hAnsi="仿宋" w:eastAsia="仿宋" w:cs="仿宋"/>
          <w:b w:val="0"/>
          <w:bCs/>
          <w:sz w:val="30"/>
          <w:szCs w:val="30"/>
          <w:lang w:eastAsia="zh-CN"/>
        </w:rPr>
        <w:t>意识培养，激发</w:t>
      </w:r>
      <w:r>
        <w:rPr>
          <w:rFonts w:hint="eastAsia" w:ascii="仿宋" w:hAnsi="仿宋" w:eastAsia="仿宋" w:cs="仿宋"/>
          <w:b w:val="0"/>
          <w:bCs/>
          <w:sz w:val="30"/>
          <w:szCs w:val="30"/>
          <w:lang w:val="en-US" w:eastAsia="zh-CN"/>
        </w:rPr>
        <w:t>学生</w:t>
      </w:r>
      <w:r>
        <w:rPr>
          <w:rFonts w:hint="eastAsia" w:ascii="仿宋" w:hAnsi="仿宋" w:eastAsia="仿宋" w:cs="仿宋"/>
          <w:b w:val="0"/>
          <w:bCs/>
          <w:sz w:val="30"/>
          <w:szCs w:val="30"/>
          <w:lang w:eastAsia="zh-CN"/>
        </w:rPr>
        <w:t>创新创业热情。</w:t>
      </w:r>
      <w:r>
        <w:rPr>
          <w:rFonts w:hint="eastAsia" w:ascii="仿宋" w:hAnsi="仿宋" w:eastAsia="仿宋" w:cs="仿宋"/>
          <w:sz w:val="30"/>
          <w:szCs w:val="30"/>
          <w:lang w:val="en-US" w:eastAsia="zh-CN"/>
        </w:rPr>
        <w:t>学校按照省级创业大赛的要求，制定安徽省中华职业教育创新创业大赛校级比赛实施方案，并积极组织开展学生备赛、竞赛，经过师生的共同努力，在首届创新创业大赛中取得了省级三等奖的好成绩。</w:t>
      </w:r>
    </w:p>
    <w:p>
      <w:pPr>
        <w:adjustRightInd w:val="0"/>
        <w:snapToGrid w:val="0"/>
        <w:jc w:val="center"/>
        <w:outlineLvl w:val="2"/>
        <w:rPr>
          <w:rFonts w:hint="eastAsia" w:ascii="仿宋" w:hAnsi="仿宋" w:eastAsia="仿宋" w:cs="仿宋"/>
          <w:b/>
          <w:kern w:val="0"/>
          <w:sz w:val="28"/>
          <w:szCs w:val="28"/>
        </w:rPr>
      </w:pPr>
      <w:bookmarkStart w:id="10" w:name="_Toc22444"/>
      <w:r>
        <w:rPr>
          <w:rFonts w:hint="eastAsia" w:ascii="仿宋" w:hAnsi="仿宋" w:eastAsia="仿宋" w:cs="仿宋"/>
          <w:b/>
          <w:kern w:val="0"/>
          <w:sz w:val="28"/>
          <w:szCs w:val="28"/>
        </w:rPr>
        <w:t>表</w:t>
      </w:r>
      <w:r>
        <w:rPr>
          <w:rFonts w:hint="eastAsia" w:ascii="仿宋" w:hAnsi="仿宋" w:eastAsia="仿宋" w:cs="仿宋"/>
          <w:b/>
          <w:kern w:val="0"/>
          <w:sz w:val="28"/>
          <w:szCs w:val="28"/>
          <w:lang w:val="en-US" w:eastAsia="zh-CN"/>
        </w:rPr>
        <w:t>3  学校</w:t>
      </w:r>
      <w:r>
        <w:rPr>
          <w:rFonts w:hint="eastAsia" w:ascii="仿宋" w:hAnsi="仿宋" w:eastAsia="仿宋" w:cs="仿宋"/>
          <w:b/>
          <w:kern w:val="0"/>
          <w:sz w:val="28"/>
          <w:szCs w:val="28"/>
          <w:lang w:eastAsia="zh-CN"/>
        </w:rPr>
        <w:t>技能竞赛获奖</w:t>
      </w:r>
      <w:r>
        <w:rPr>
          <w:rFonts w:hint="eastAsia" w:ascii="仿宋" w:hAnsi="仿宋" w:eastAsia="仿宋" w:cs="仿宋"/>
          <w:b/>
          <w:kern w:val="0"/>
          <w:sz w:val="28"/>
          <w:szCs w:val="28"/>
        </w:rPr>
        <w:t>情况一览表</w:t>
      </w:r>
      <w:bookmarkEnd w:id="10"/>
    </w:p>
    <w:tbl>
      <w:tblPr>
        <w:tblStyle w:val="17"/>
        <w:tblpPr w:leftFromText="180" w:rightFromText="180" w:vertAnchor="text" w:horzAnchor="margin" w:tblpXSpec="center" w:tblpY="173"/>
        <w:tblOverlap w:val="never"/>
        <w:tblW w:w="6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569"/>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2845" w:type="dxa"/>
            <w:gridSpan w:val="2"/>
            <w:noWrap w:val="0"/>
            <w:vAlign w:val="center"/>
          </w:tcPr>
          <w:p>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国家级奖项</w:t>
            </w:r>
          </w:p>
        </w:tc>
        <w:tc>
          <w:tcPr>
            <w:tcW w:w="1830" w:type="dxa"/>
            <w:noWrap w:val="0"/>
            <w:vAlign w:val="center"/>
          </w:tcPr>
          <w:p>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省级奖项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trPr>
        <w:tc>
          <w:tcPr>
            <w:tcW w:w="1526" w:type="dxa"/>
            <w:vMerge w:val="restart"/>
            <w:noWrap w:val="0"/>
            <w:vAlign w:val="center"/>
          </w:tcPr>
          <w:p>
            <w:pPr>
              <w:spacing w:line="240" w:lineRule="atLeast"/>
              <w:jc w:val="center"/>
              <w:rPr>
                <w:rFonts w:hint="eastAsia" w:ascii="仿宋" w:hAnsi="仿宋" w:eastAsia="仿宋" w:cs="仿宋"/>
                <w:b/>
                <w:sz w:val="21"/>
                <w:szCs w:val="21"/>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r>
              <w:rPr>
                <w:rFonts w:hint="eastAsia" w:ascii="仿宋" w:hAnsi="仿宋" w:eastAsia="仿宋" w:cs="仿宋"/>
                <w:b/>
                <w:sz w:val="21"/>
                <w:szCs w:val="21"/>
              </w:rPr>
              <w:t>～202</w:t>
            </w:r>
            <w:r>
              <w:rPr>
                <w:rFonts w:hint="eastAsia" w:ascii="仿宋" w:hAnsi="仿宋" w:eastAsia="仿宋" w:cs="仿宋"/>
                <w:b/>
                <w:sz w:val="21"/>
                <w:szCs w:val="21"/>
                <w:lang w:val="en-US" w:eastAsia="zh-CN"/>
              </w:rPr>
              <w:t>3</w:t>
            </w:r>
          </w:p>
        </w:tc>
        <w:tc>
          <w:tcPr>
            <w:tcW w:w="127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一等奖</w:t>
            </w:r>
          </w:p>
        </w:tc>
        <w:tc>
          <w:tcPr>
            <w:tcW w:w="156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p>
        </w:tc>
        <w:tc>
          <w:tcPr>
            <w:tcW w:w="1830"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exact"/>
        </w:trPr>
        <w:tc>
          <w:tcPr>
            <w:tcW w:w="1526" w:type="dxa"/>
            <w:vMerge w:val="continue"/>
            <w:noWrap w:val="0"/>
            <w:vAlign w:val="center"/>
          </w:tcPr>
          <w:p>
            <w:pPr>
              <w:spacing w:line="240" w:lineRule="atLeast"/>
              <w:jc w:val="center"/>
              <w:rPr>
                <w:rFonts w:hint="eastAsia" w:ascii="仿宋" w:hAnsi="仿宋" w:eastAsia="仿宋" w:cs="仿宋"/>
                <w:b/>
                <w:sz w:val="21"/>
                <w:szCs w:val="21"/>
              </w:rPr>
            </w:pPr>
          </w:p>
        </w:tc>
        <w:tc>
          <w:tcPr>
            <w:tcW w:w="127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二等奖</w:t>
            </w:r>
          </w:p>
        </w:tc>
        <w:tc>
          <w:tcPr>
            <w:tcW w:w="156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830"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1526" w:type="dxa"/>
            <w:vMerge w:val="continue"/>
            <w:noWrap w:val="0"/>
            <w:vAlign w:val="center"/>
          </w:tcPr>
          <w:p>
            <w:pPr>
              <w:spacing w:line="240" w:lineRule="atLeast"/>
              <w:jc w:val="center"/>
              <w:rPr>
                <w:rFonts w:hint="eastAsia" w:ascii="仿宋" w:hAnsi="仿宋" w:eastAsia="仿宋" w:cs="仿宋"/>
                <w:b/>
                <w:sz w:val="21"/>
                <w:szCs w:val="21"/>
              </w:rPr>
            </w:pPr>
          </w:p>
        </w:tc>
        <w:tc>
          <w:tcPr>
            <w:tcW w:w="127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三等奖</w:t>
            </w:r>
          </w:p>
        </w:tc>
        <w:tc>
          <w:tcPr>
            <w:tcW w:w="156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1830"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w:t>
            </w:r>
          </w:p>
        </w:tc>
      </w:tr>
    </w:tbl>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r>
        <w:rPr>
          <w:rFonts w:hint="eastAsia" w:ascii="仿宋_GB2312" w:hAnsi="仿宋_GB2312" w:eastAsia="仿宋_GB2312" w:cs="仿宋_GB2312"/>
          <w:b/>
          <w:bCs/>
          <w:i w:val="0"/>
          <w:iCs w:val="0"/>
          <w:caps w:val="0"/>
          <w:color w:val="333333"/>
          <w:spacing w:val="0"/>
          <w:sz w:val="32"/>
          <w:szCs w:val="32"/>
          <w:shd w:val="clear" w:color="auto" w:fill="FFFFFF"/>
          <w:lang w:val="en-US" w:eastAsia="zh-CN"/>
        </w:rPr>
        <w:drawing>
          <wp:anchor distT="0" distB="0" distL="114300" distR="114300" simplePos="0" relativeHeight="251660288" behindDoc="0" locked="0" layoutInCell="1" allowOverlap="1">
            <wp:simplePos x="0" y="0"/>
            <wp:positionH relativeFrom="column">
              <wp:posOffset>711200</wp:posOffset>
            </wp:positionH>
            <wp:positionV relativeFrom="paragraph">
              <wp:posOffset>105410</wp:posOffset>
            </wp:positionV>
            <wp:extent cx="3891280" cy="2644140"/>
            <wp:effectExtent l="0" t="0" r="13970" b="3810"/>
            <wp:wrapSquare wrapText="bothSides"/>
            <wp:docPr id="9" name="图片 4" descr="5b32e565b3da88d83373d4e0350c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5b32e565b3da88d83373d4e0350c761"/>
                    <pic:cNvPicPr>
                      <a:picLocks noChangeAspect="1"/>
                    </pic:cNvPicPr>
                  </pic:nvPicPr>
                  <pic:blipFill>
                    <a:blip r:embed="rId11"/>
                    <a:stretch>
                      <a:fillRect/>
                    </a:stretch>
                  </pic:blipFill>
                  <pic:spPr>
                    <a:xfrm>
                      <a:off x="0" y="0"/>
                      <a:ext cx="3891280" cy="2644140"/>
                    </a:xfrm>
                    <a:prstGeom prst="rect">
                      <a:avLst/>
                    </a:prstGeom>
                    <a:noFill/>
                    <a:ln>
                      <a:noFill/>
                    </a:ln>
                  </pic:spPr>
                </pic:pic>
              </a:graphicData>
            </a:graphic>
          </wp:anchor>
        </w:drawing>
      </w: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793" w:firstLineChars="247"/>
        <w:rPr>
          <w:rFonts w:hint="eastAsia" w:ascii="仿宋" w:hAnsi="仿宋" w:eastAsia="仿宋" w:cs="仿宋"/>
          <w:b/>
          <w:sz w:val="32"/>
          <w:szCs w:val="32"/>
          <w:lang w:val="en-US" w:eastAsia="zh-CN"/>
        </w:rPr>
      </w:pPr>
    </w:p>
    <w:p>
      <w:pPr>
        <w:spacing w:line="360" w:lineRule="auto"/>
        <w:ind w:firstLine="602" w:firstLineChars="200"/>
        <w:outlineLvl w:val="1"/>
        <w:rPr>
          <w:rFonts w:hint="default" w:ascii="仿宋" w:hAnsi="仿宋" w:eastAsia="仿宋" w:cs="仿宋"/>
          <w:b/>
          <w:sz w:val="30"/>
          <w:szCs w:val="30"/>
          <w:lang w:val="en-US" w:eastAsia="zh-CN"/>
        </w:rPr>
      </w:pPr>
      <w:bookmarkStart w:id="11" w:name="_Toc29218"/>
      <w:r>
        <w:rPr>
          <w:rFonts w:hint="eastAsia" w:ascii="仿宋" w:hAnsi="仿宋" w:eastAsia="仿宋" w:cs="仿宋"/>
          <w:b/>
          <w:sz w:val="30"/>
          <w:szCs w:val="30"/>
          <w:lang w:val="en-US" w:eastAsia="zh-CN"/>
        </w:rPr>
        <w:t>2.3在校体验</w:t>
      </w:r>
      <w:bookmarkEnd w:id="11"/>
    </w:p>
    <w:p>
      <w:pPr>
        <w:spacing w:line="360" w:lineRule="auto"/>
        <w:ind w:firstLine="600" w:firstLineChars="200"/>
        <w:rPr>
          <w:rFonts w:hint="eastAsia" w:ascii="仿宋" w:hAnsi="仿宋" w:eastAsia="仿宋" w:cs="仿宋"/>
          <w:sz w:val="30"/>
          <w:szCs w:val="30"/>
          <w:lang w:eastAsia="zh-CN"/>
        </w:rPr>
      </w:pPr>
      <w:r>
        <w:rPr>
          <w:rFonts w:hint="eastAsia" w:ascii="仿宋" w:hAnsi="仿宋" w:eastAsia="仿宋" w:cs="仿宋"/>
          <w:sz w:val="30"/>
          <w:szCs w:val="30"/>
          <w:lang w:eastAsia="zh-CN"/>
        </w:rPr>
        <w:t>为保证学生在校内有完善的生活、学习场所，学校积极营建</w:t>
      </w:r>
      <w:r>
        <w:rPr>
          <w:rFonts w:hint="eastAsia" w:ascii="仿宋" w:hAnsi="仿宋" w:eastAsia="仿宋" w:cs="仿宋"/>
          <w:sz w:val="30"/>
          <w:szCs w:val="30"/>
          <w:lang w:val="en-US" w:eastAsia="zh-CN"/>
        </w:rPr>
        <w:t>育人校园、</w:t>
      </w:r>
      <w:r>
        <w:rPr>
          <w:rFonts w:hint="eastAsia" w:ascii="仿宋" w:hAnsi="仿宋" w:eastAsia="仿宋" w:cs="仿宋"/>
          <w:sz w:val="30"/>
          <w:szCs w:val="30"/>
        </w:rPr>
        <w:t>和谐校园、</w:t>
      </w:r>
      <w:r>
        <w:rPr>
          <w:rFonts w:hint="eastAsia" w:ascii="仿宋" w:hAnsi="仿宋" w:eastAsia="仿宋" w:cs="仿宋"/>
          <w:sz w:val="30"/>
          <w:szCs w:val="30"/>
          <w:lang w:eastAsia="zh-CN"/>
        </w:rPr>
        <w:t>书香校园，引导学生求真、务实。</w:t>
      </w:r>
      <w:r>
        <w:rPr>
          <w:rFonts w:hint="eastAsia" w:ascii="仿宋" w:hAnsi="仿宋" w:eastAsia="仿宋" w:cs="仿宋"/>
          <w:sz w:val="30"/>
          <w:szCs w:val="30"/>
          <w:lang w:val="en-US" w:eastAsia="zh-CN"/>
        </w:rPr>
        <w:t>在教育教学中学校积极开展“一体化教学改革”，通过</w:t>
      </w:r>
      <w:r>
        <w:rPr>
          <w:rFonts w:hint="eastAsia" w:ascii="仿宋" w:hAnsi="仿宋" w:eastAsia="仿宋" w:cs="仿宋"/>
          <w:sz w:val="30"/>
          <w:szCs w:val="30"/>
          <w:lang w:eastAsia="zh-CN"/>
        </w:rPr>
        <w:t>合理精简整合、序化教学内容，集知识、技能和态度于一体，运用多种教学方法和教学手段，不断提高课程教学质量。</w:t>
      </w:r>
    </w:p>
    <w:p>
      <w:pPr>
        <w:ind w:firstLine="600" w:firstLineChars="200"/>
        <w:rPr>
          <w:rFonts w:hint="eastAsia" w:ascii="仿宋" w:hAnsi="仿宋" w:eastAsia="仿宋" w:cs="仿宋"/>
          <w:b w:val="0"/>
          <w:bCs/>
          <w:color w:val="auto"/>
          <w:sz w:val="30"/>
          <w:szCs w:val="30"/>
          <w:lang w:eastAsia="zh-CN"/>
        </w:rPr>
      </w:pPr>
      <w:r>
        <w:rPr>
          <w:rFonts w:hint="eastAsia" w:ascii="仿宋" w:hAnsi="仿宋" w:eastAsia="仿宋" w:cs="仿宋"/>
          <w:b w:val="0"/>
          <w:bCs/>
          <w:color w:val="auto"/>
          <w:sz w:val="30"/>
          <w:szCs w:val="30"/>
          <w:lang w:eastAsia="zh-CN"/>
        </w:rPr>
        <w:t>学校重视关注学生在校学习、生活，通过召开家长座谈会、学生代表座谈会、班干部会议、生活委员会议，认真及时梳理学生提出建议和意见。学校领导、学生管理部门人员定期深入寝室、教室进行充分调研，实地查看学生学习、生活环境，精准解决学生急、难、愁、盼问题，得到广大学生一致好评。</w:t>
      </w:r>
    </w:p>
    <w:p>
      <w:pPr>
        <w:ind w:firstLine="600" w:firstLineChars="200"/>
        <w:rPr>
          <w:rFonts w:hint="eastAsia" w:ascii="仿宋" w:hAnsi="仿宋" w:eastAsia="仿宋" w:cs="仿宋"/>
          <w:b w:val="0"/>
          <w:bCs/>
          <w:color w:val="auto"/>
          <w:sz w:val="30"/>
          <w:szCs w:val="30"/>
          <w:lang w:eastAsia="zh-CN"/>
        </w:rPr>
      </w:pPr>
      <w:r>
        <w:rPr>
          <w:rFonts w:hint="eastAsia" w:ascii="仿宋" w:hAnsi="仿宋" w:eastAsia="仿宋" w:cs="仿宋"/>
          <w:b w:val="0"/>
          <w:bCs/>
          <w:color w:val="auto"/>
          <w:sz w:val="30"/>
          <w:szCs w:val="30"/>
          <w:lang w:eastAsia="zh-CN"/>
        </w:rPr>
        <w:t>学校</w:t>
      </w:r>
      <w:r>
        <w:rPr>
          <w:rFonts w:hint="default" w:ascii="仿宋" w:hAnsi="仿宋" w:eastAsia="仿宋" w:cs="仿宋"/>
          <w:b w:val="0"/>
          <w:bCs/>
          <w:color w:val="auto"/>
          <w:sz w:val="30"/>
          <w:szCs w:val="30"/>
          <w:lang w:eastAsia="zh-CN"/>
        </w:rPr>
        <w:t>认真执行“食品安全风险日管控、周排查、月调度管理制度”</w:t>
      </w:r>
      <w:r>
        <w:rPr>
          <w:rFonts w:hint="eastAsia" w:ascii="仿宋" w:hAnsi="仿宋" w:eastAsia="仿宋" w:cs="仿宋"/>
          <w:b w:val="0"/>
          <w:bCs/>
          <w:color w:val="auto"/>
          <w:sz w:val="30"/>
          <w:szCs w:val="30"/>
          <w:lang w:eastAsia="zh-CN"/>
        </w:rPr>
        <w:t>，</w:t>
      </w:r>
      <w:r>
        <w:rPr>
          <w:rFonts w:hint="eastAsia" w:ascii="仿宋" w:hAnsi="仿宋" w:eastAsia="仿宋" w:cs="仿宋"/>
          <w:b w:val="0"/>
          <w:bCs/>
          <w:color w:val="auto"/>
          <w:sz w:val="30"/>
          <w:szCs w:val="30"/>
          <w:lang w:val="en-US" w:eastAsia="zh-CN"/>
        </w:rPr>
        <w:t>坚决</w:t>
      </w:r>
      <w:r>
        <w:rPr>
          <w:rFonts w:hint="default" w:ascii="仿宋" w:hAnsi="仿宋" w:eastAsia="仿宋" w:cs="仿宋"/>
          <w:b w:val="0"/>
          <w:bCs/>
          <w:color w:val="auto"/>
          <w:sz w:val="30"/>
          <w:szCs w:val="30"/>
          <w:lang w:eastAsia="zh-CN"/>
        </w:rPr>
        <w:t>杜绝“三无食品”进入校园</w:t>
      </w:r>
      <w:r>
        <w:rPr>
          <w:rFonts w:hint="eastAsia" w:ascii="仿宋" w:hAnsi="仿宋" w:eastAsia="仿宋" w:cs="仿宋"/>
          <w:b w:val="0"/>
          <w:bCs/>
          <w:color w:val="auto"/>
          <w:sz w:val="30"/>
          <w:szCs w:val="30"/>
          <w:lang w:eastAsia="zh-CN"/>
        </w:rPr>
        <w:t>，</w:t>
      </w:r>
      <w:r>
        <w:rPr>
          <w:rFonts w:hint="default" w:ascii="仿宋" w:hAnsi="仿宋" w:eastAsia="仿宋" w:cs="仿宋"/>
          <w:b w:val="0"/>
          <w:bCs/>
          <w:color w:val="auto"/>
          <w:sz w:val="30"/>
          <w:szCs w:val="30"/>
          <w:lang w:eastAsia="zh-CN"/>
        </w:rPr>
        <w:t>确保师生“舌尖上的安全”。</w:t>
      </w:r>
      <w:r>
        <w:rPr>
          <w:rFonts w:hint="eastAsia" w:ascii="仿宋" w:hAnsi="仿宋" w:eastAsia="仿宋" w:cs="仿宋"/>
          <w:b w:val="0"/>
          <w:bCs/>
          <w:color w:val="auto"/>
          <w:sz w:val="30"/>
          <w:szCs w:val="30"/>
          <w:lang w:eastAsia="zh-CN"/>
        </w:rPr>
        <w:t>学校</w:t>
      </w:r>
      <w:r>
        <w:rPr>
          <w:rFonts w:hint="default" w:ascii="仿宋" w:hAnsi="仿宋" w:eastAsia="仿宋" w:cs="仿宋"/>
          <w:b w:val="0"/>
          <w:bCs/>
          <w:color w:val="auto"/>
          <w:sz w:val="30"/>
          <w:szCs w:val="30"/>
          <w:lang w:eastAsia="zh-CN"/>
        </w:rPr>
        <w:t>定期对食堂</w:t>
      </w:r>
      <w:r>
        <w:rPr>
          <w:rFonts w:hint="eastAsia" w:ascii="仿宋" w:hAnsi="仿宋" w:eastAsia="仿宋" w:cs="仿宋"/>
          <w:b w:val="0"/>
          <w:bCs/>
          <w:color w:val="auto"/>
          <w:sz w:val="30"/>
          <w:szCs w:val="30"/>
          <w:lang w:eastAsia="zh-CN"/>
        </w:rPr>
        <w:t>、</w:t>
      </w:r>
      <w:r>
        <w:rPr>
          <w:rFonts w:hint="default" w:ascii="仿宋" w:hAnsi="仿宋" w:eastAsia="仿宋" w:cs="仿宋"/>
          <w:b w:val="0"/>
          <w:bCs/>
          <w:color w:val="auto"/>
          <w:sz w:val="30"/>
          <w:szCs w:val="30"/>
          <w:lang w:eastAsia="zh-CN"/>
        </w:rPr>
        <w:t>超市</w:t>
      </w:r>
      <w:r>
        <w:rPr>
          <w:rFonts w:hint="default" w:ascii="仿宋" w:hAnsi="仿宋" w:eastAsia="仿宋" w:cs="仿宋"/>
          <w:b w:val="0"/>
          <w:bCs/>
          <w:color w:val="auto"/>
          <w:sz w:val="30"/>
          <w:szCs w:val="30"/>
          <w:lang w:val="en-US" w:eastAsia="zh-CN"/>
        </w:rPr>
        <w:t>开展食品卫生安全专项检查活动，并要求所有从业工作人员持有效健康证明方可上岗</w:t>
      </w:r>
      <w:r>
        <w:rPr>
          <w:rFonts w:hint="eastAsia" w:ascii="仿宋" w:hAnsi="仿宋" w:eastAsia="仿宋" w:cs="仿宋"/>
          <w:b w:val="0"/>
          <w:bCs/>
          <w:color w:val="auto"/>
          <w:sz w:val="30"/>
          <w:szCs w:val="30"/>
          <w:lang w:val="en-US" w:eastAsia="zh-CN"/>
        </w:rPr>
        <w:t>。同时</w:t>
      </w:r>
      <w:r>
        <w:rPr>
          <w:rFonts w:hint="default" w:ascii="仿宋" w:hAnsi="仿宋" w:eastAsia="仿宋" w:cs="仿宋"/>
          <w:b w:val="0"/>
          <w:bCs/>
          <w:color w:val="auto"/>
          <w:sz w:val="30"/>
          <w:szCs w:val="30"/>
          <w:lang w:val="en-US" w:eastAsia="zh-CN"/>
        </w:rPr>
        <w:t>组织召开学生代表座谈会，认真听取意见与建议，对工作中存在的不足及时进行整改。不断加强对食堂超市监管工作，增强服务意识，提高服务质量和水平，不断提升师生员工对食堂</w:t>
      </w:r>
      <w:r>
        <w:rPr>
          <w:rFonts w:hint="eastAsia" w:ascii="仿宋" w:hAnsi="仿宋" w:eastAsia="仿宋" w:cs="仿宋"/>
          <w:b w:val="0"/>
          <w:bCs/>
          <w:color w:val="auto"/>
          <w:sz w:val="30"/>
          <w:szCs w:val="30"/>
          <w:lang w:val="en-US" w:eastAsia="zh-CN"/>
        </w:rPr>
        <w:t>、</w:t>
      </w:r>
      <w:r>
        <w:rPr>
          <w:rFonts w:hint="default" w:ascii="仿宋" w:hAnsi="仿宋" w:eastAsia="仿宋" w:cs="仿宋"/>
          <w:b w:val="0"/>
          <w:bCs/>
          <w:color w:val="auto"/>
          <w:sz w:val="30"/>
          <w:szCs w:val="30"/>
          <w:lang w:val="en-US" w:eastAsia="zh-CN"/>
        </w:rPr>
        <w:t>超市的满意度。</w:t>
      </w:r>
    </w:p>
    <w:p>
      <w:pPr>
        <w:spacing w:line="360" w:lineRule="auto"/>
        <w:ind w:firstLine="600" w:firstLineChars="200"/>
        <w:rPr>
          <w:rFonts w:hint="eastAsia" w:ascii="仿宋" w:hAnsi="仿宋" w:eastAsia="仿宋" w:cs="仿宋"/>
          <w:b/>
          <w:bCs/>
          <w:sz w:val="32"/>
          <w:szCs w:val="32"/>
          <w:lang w:val="en-US" w:eastAsia="zh-CN"/>
        </w:rPr>
      </w:pPr>
      <w:r>
        <w:rPr>
          <w:rFonts w:hint="eastAsia" w:ascii="仿宋" w:hAnsi="仿宋" w:eastAsia="仿宋" w:cs="仿宋"/>
          <w:sz w:val="30"/>
          <w:szCs w:val="30"/>
        </w:rPr>
        <w:t>学校校园文化建设特色鲜明，“校园文化节”“第二课堂”“教室文化建设”等活动丰富多彩。</w:t>
      </w:r>
      <w:r>
        <w:rPr>
          <w:rFonts w:hint="eastAsia" w:ascii="仿宋" w:hAnsi="仿宋" w:eastAsia="仿宋" w:cs="仿宋"/>
          <w:sz w:val="30"/>
          <w:szCs w:val="30"/>
          <w:lang w:eastAsia="zh-CN"/>
        </w:rPr>
        <w:t>在“第二课堂”中积极发展学生社团文化，目前有文学社、篮球队、微宣讲社团、拉丁舞社团等学生社团，同时每年定期举办校园文化艺术节、篮球赛、歌咏赛、拔河赛等活动，活动的开展成为了学生彰显个性、展示风采的良好舞台。</w:t>
      </w:r>
    </w:p>
    <w:p>
      <w:pPr>
        <w:spacing w:line="240" w:lineRule="auto"/>
        <w:rPr>
          <w:rFonts w:hint="eastAsia" w:ascii="仿宋" w:hAnsi="仿宋" w:eastAsia="仿宋" w:cs="仿宋"/>
          <w:b/>
          <w:bCs/>
          <w:sz w:val="32"/>
          <w:szCs w:val="32"/>
          <w:lang w:val="en-US" w:eastAsia="zh-CN"/>
        </w:rPr>
      </w:pPr>
      <w:r>
        <w:rPr>
          <w:rFonts w:ascii="宋体" w:hAnsi="宋体" w:eastAsia="宋体" w:cs="宋体"/>
          <w:sz w:val="24"/>
          <w:szCs w:val="24"/>
        </w:rPr>
        <w:drawing>
          <wp:inline distT="0" distB="0" distL="114300" distR="114300">
            <wp:extent cx="5272405" cy="2900680"/>
            <wp:effectExtent l="0" t="0" r="4445" b="13970"/>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2"/>
                    <a:stretch>
                      <a:fillRect/>
                    </a:stretch>
                  </pic:blipFill>
                  <pic:spPr>
                    <a:xfrm>
                      <a:off x="0" y="0"/>
                      <a:ext cx="5272405" cy="2900680"/>
                    </a:xfrm>
                    <a:prstGeom prst="rect">
                      <a:avLst/>
                    </a:prstGeom>
                    <a:noFill/>
                    <a:ln w="9525">
                      <a:noFill/>
                    </a:ln>
                  </pic:spPr>
                </pic:pic>
              </a:graphicData>
            </a:graphic>
          </wp:inline>
        </w:drawing>
      </w:r>
    </w:p>
    <w:p>
      <w:pPr>
        <w:spacing w:line="360" w:lineRule="auto"/>
        <w:ind w:firstLine="482" w:firstLineChars="200"/>
        <w:jc w:val="center"/>
        <w:outlineLvl w:val="2"/>
        <w:rPr>
          <w:rFonts w:hint="eastAsia" w:ascii="仿宋" w:hAnsi="仿宋" w:eastAsia="仿宋" w:cs="仿宋"/>
          <w:b/>
          <w:sz w:val="24"/>
          <w:szCs w:val="24"/>
          <w:lang w:val="en-US" w:eastAsia="zh-CN"/>
        </w:rPr>
      </w:pPr>
      <w:bookmarkStart w:id="12" w:name="_Toc22531"/>
      <w:r>
        <w:rPr>
          <w:rFonts w:hint="eastAsia" w:ascii="仿宋" w:hAnsi="仿宋" w:eastAsia="仿宋" w:cs="仿宋"/>
          <w:b/>
          <w:sz w:val="24"/>
          <w:szCs w:val="24"/>
          <w:lang w:val="en-US" w:eastAsia="zh-CN"/>
        </w:rPr>
        <w:t>师生共渡端午节</w:t>
      </w:r>
      <w:bookmarkEnd w:id="12"/>
    </w:p>
    <w:p>
      <w:pPr>
        <w:spacing w:line="240" w:lineRule="auto"/>
        <w:ind w:firstLine="602" w:firstLineChars="200"/>
        <w:outlineLvl w:val="1"/>
        <w:rPr>
          <w:rFonts w:hint="eastAsia" w:ascii="仿宋" w:hAnsi="仿宋" w:eastAsia="仿宋" w:cs="仿宋"/>
          <w:b/>
          <w:bCs/>
          <w:sz w:val="30"/>
          <w:szCs w:val="30"/>
          <w:lang w:val="en-US" w:eastAsia="zh-CN"/>
        </w:rPr>
      </w:pPr>
      <w:bookmarkStart w:id="13" w:name="_Toc17800"/>
      <w:r>
        <w:rPr>
          <w:rFonts w:hint="eastAsia" w:ascii="仿宋" w:hAnsi="仿宋" w:eastAsia="仿宋" w:cs="仿宋"/>
          <w:b/>
          <w:bCs/>
          <w:sz w:val="30"/>
          <w:szCs w:val="30"/>
          <w:lang w:val="en-US" w:eastAsia="zh-CN"/>
        </w:rPr>
        <w:t>2.4职业发展</w:t>
      </w:r>
      <w:bookmarkEnd w:id="13"/>
    </w:p>
    <w:p>
      <w:pPr>
        <w:spacing w:line="240" w:lineRule="auto"/>
        <w:ind w:firstLine="642"/>
        <w:rPr>
          <w:rFonts w:hint="eastAsia" w:ascii="仿宋" w:hAnsi="仿宋" w:eastAsia="仿宋" w:cs="仿宋"/>
          <w:sz w:val="30"/>
          <w:szCs w:val="30"/>
          <w:lang w:eastAsia="zh-CN"/>
        </w:rPr>
      </w:pPr>
      <w:r>
        <w:rPr>
          <w:rFonts w:hint="eastAsia" w:ascii="仿宋" w:hAnsi="仿宋" w:eastAsia="仿宋" w:cs="仿宋"/>
          <w:sz w:val="30"/>
          <w:szCs w:val="30"/>
          <w:lang w:eastAsia="zh-CN"/>
        </w:rPr>
        <w:t>学校重视学生就业工作，成立校企合作办公室专项负责学生的就业安置工作，</w:t>
      </w:r>
      <w:r>
        <w:rPr>
          <w:rFonts w:hint="eastAsia" w:ascii="仿宋" w:hAnsi="仿宋" w:eastAsia="仿宋" w:cs="仿宋"/>
          <w:color w:val="auto"/>
          <w:sz w:val="30"/>
          <w:szCs w:val="30"/>
        </w:rPr>
        <w:t>紧紧围绕</w:t>
      </w:r>
      <w:r>
        <w:rPr>
          <w:rFonts w:hint="eastAsia" w:ascii="仿宋" w:hAnsi="仿宋" w:eastAsia="仿宋" w:cs="仿宋"/>
          <w:color w:val="auto"/>
          <w:sz w:val="30"/>
          <w:szCs w:val="30"/>
          <w:lang w:val="en-US" w:eastAsia="zh-CN"/>
        </w:rPr>
        <w:t>加强校企深度合作、</w:t>
      </w:r>
      <w:r>
        <w:rPr>
          <w:rFonts w:hint="eastAsia" w:ascii="仿宋" w:hAnsi="仿宋" w:eastAsia="仿宋" w:cs="仿宋"/>
          <w:color w:val="auto"/>
          <w:sz w:val="30"/>
          <w:szCs w:val="30"/>
        </w:rPr>
        <w:t>拓展</w:t>
      </w:r>
      <w:r>
        <w:rPr>
          <w:rFonts w:hint="eastAsia" w:ascii="仿宋" w:hAnsi="仿宋" w:eastAsia="仿宋" w:cs="仿宋"/>
          <w:color w:val="auto"/>
          <w:sz w:val="30"/>
          <w:szCs w:val="30"/>
          <w:lang w:val="en-US" w:eastAsia="zh-CN"/>
        </w:rPr>
        <w:t>实习</w:t>
      </w:r>
      <w:r>
        <w:rPr>
          <w:rFonts w:hint="eastAsia" w:ascii="仿宋" w:hAnsi="仿宋" w:eastAsia="仿宋" w:cs="仿宋"/>
          <w:color w:val="auto"/>
          <w:sz w:val="30"/>
          <w:szCs w:val="30"/>
        </w:rPr>
        <w:t>就业市场、提高</w:t>
      </w:r>
      <w:r>
        <w:rPr>
          <w:rFonts w:hint="eastAsia" w:ascii="仿宋" w:hAnsi="仿宋" w:eastAsia="仿宋" w:cs="仿宋"/>
          <w:color w:val="auto"/>
          <w:sz w:val="30"/>
          <w:szCs w:val="30"/>
          <w:lang w:val="en-US" w:eastAsia="zh-CN"/>
        </w:rPr>
        <w:t>学生实习</w:t>
      </w:r>
      <w:r>
        <w:rPr>
          <w:rFonts w:hint="eastAsia" w:ascii="仿宋" w:hAnsi="仿宋" w:eastAsia="仿宋" w:cs="仿宋"/>
          <w:color w:val="auto"/>
          <w:sz w:val="30"/>
          <w:szCs w:val="30"/>
        </w:rPr>
        <w:t>就业质量</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lang w:val="en-US" w:eastAsia="zh-CN"/>
        </w:rPr>
        <w:t>规范校企合作管理为工</w:t>
      </w:r>
      <w:r>
        <w:rPr>
          <w:rFonts w:hint="eastAsia" w:ascii="仿宋" w:hAnsi="仿宋" w:eastAsia="仿宋" w:cs="仿宋"/>
          <w:color w:val="auto"/>
          <w:sz w:val="30"/>
          <w:szCs w:val="30"/>
        </w:rPr>
        <w:t>作重心</w:t>
      </w:r>
      <w:r>
        <w:rPr>
          <w:rFonts w:hint="eastAsia" w:ascii="仿宋" w:hAnsi="仿宋" w:eastAsia="仿宋" w:cs="仿宋"/>
          <w:color w:val="auto"/>
          <w:sz w:val="30"/>
          <w:szCs w:val="30"/>
          <w:lang w:eastAsia="zh-CN"/>
        </w:rPr>
        <w:t>，</w:t>
      </w:r>
      <w:r>
        <w:rPr>
          <w:rFonts w:hint="eastAsia" w:ascii="仿宋" w:hAnsi="仿宋" w:eastAsia="仿宋" w:cs="仿宋"/>
          <w:sz w:val="30"/>
          <w:szCs w:val="30"/>
          <w:lang w:eastAsia="zh-CN"/>
        </w:rPr>
        <w:t>定期召开企业、学校双选会，安排学生分期分批进行顶岗实习、跟岗实习和对口就业工作。</w:t>
      </w:r>
    </w:p>
    <w:p>
      <w:pPr>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学校</w:t>
      </w:r>
      <w:r>
        <w:rPr>
          <w:rFonts w:hint="eastAsia" w:ascii="仿宋" w:hAnsi="仿宋" w:eastAsia="仿宋" w:cs="仿宋"/>
          <w:color w:val="auto"/>
          <w:sz w:val="30"/>
          <w:szCs w:val="30"/>
        </w:rPr>
        <w:t>更新思路</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创新模式</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尝试改革，</w:t>
      </w:r>
      <w:r>
        <w:rPr>
          <w:rFonts w:hint="eastAsia" w:ascii="仿宋" w:hAnsi="仿宋" w:eastAsia="仿宋" w:cs="仿宋"/>
          <w:color w:val="auto"/>
          <w:sz w:val="30"/>
          <w:szCs w:val="30"/>
          <w:lang w:eastAsia="zh-CN"/>
        </w:rPr>
        <w:t>于</w:t>
      </w:r>
      <w:r>
        <w:rPr>
          <w:rFonts w:hint="eastAsia" w:ascii="仿宋" w:hAnsi="仿宋" w:eastAsia="仿宋" w:cs="仿宋"/>
          <w:color w:val="auto"/>
          <w:sz w:val="30"/>
          <w:szCs w:val="30"/>
          <w:lang w:val="en-US" w:eastAsia="zh-CN"/>
        </w:rPr>
        <w:t>2023年1月—5月赴省内20余家企业考察调研</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重点考虑</w:t>
      </w:r>
      <w:r>
        <w:rPr>
          <w:rFonts w:hint="eastAsia" w:ascii="仿宋" w:hAnsi="仿宋" w:eastAsia="仿宋" w:cs="仿宋"/>
          <w:color w:val="auto"/>
          <w:sz w:val="30"/>
          <w:szCs w:val="30"/>
          <w:lang w:val="en-US" w:eastAsia="zh-CN"/>
        </w:rPr>
        <w:t>学</w:t>
      </w:r>
      <w:r>
        <w:rPr>
          <w:rFonts w:hint="eastAsia" w:ascii="仿宋" w:hAnsi="仿宋" w:eastAsia="仿宋" w:cs="仿宋"/>
          <w:color w:val="auto"/>
          <w:sz w:val="30"/>
          <w:szCs w:val="30"/>
        </w:rPr>
        <w:t>生的“安全、对口、薪资、环境、发展”</w:t>
      </w:r>
      <w:r>
        <w:rPr>
          <w:rFonts w:hint="eastAsia" w:ascii="仿宋" w:hAnsi="仿宋" w:eastAsia="仿宋" w:cs="仿宋"/>
          <w:color w:val="auto"/>
          <w:sz w:val="30"/>
          <w:szCs w:val="30"/>
          <w:lang w:eastAsia="zh-CN"/>
        </w:rPr>
        <w:t>，并于</w:t>
      </w:r>
      <w:r>
        <w:rPr>
          <w:rFonts w:hint="eastAsia" w:ascii="仿宋" w:hAnsi="仿宋" w:eastAsia="仿宋" w:cs="仿宋"/>
          <w:color w:val="auto"/>
          <w:sz w:val="30"/>
          <w:szCs w:val="30"/>
          <w:lang w:val="en-US" w:eastAsia="zh-CN"/>
        </w:rPr>
        <w:t>5月9日至10日成功举办“筑梦青春，职向未来”校园双选会，共吸引19家优质企事业单位参会，提供了涵盖智能制造、汽车维修、教育、服务等多个行业种类的500多个招聘岗位。</w:t>
      </w:r>
    </w:p>
    <w:p>
      <w:pPr>
        <w:ind w:firstLine="600" w:firstLineChars="200"/>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eastAsia="zh-CN"/>
        </w:rPr>
        <w:t>学校</w:t>
      </w:r>
      <w:r>
        <w:rPr>
          <w:rFonts w:hint="eastAsia" w:ascii="仿宋" w:hAnsi="仿宋" w:eastAsia="仿宋" w:cs="仿宋"/>
          <w:color w:val="auto"/>
          <w:sz w:val="30"/>
          <w:szCs w:val="30"/>
        </w:rPr>
        <w:t>继续</w:t>
      </w:r>
      <w:r>
        <w:rPr>
          <w:rFonts w:hint="eastAsia" w:ascii="仿宋" w:hAnsi="仿宋" w:eastAsia="仿宋" w:cs="仿宋"/>
          <w:color w:val="auto"/>
          <w:sz w:val="30"/>
          <w:szCs w:val="30"/>
          <w:lang w:eastAsia="zh-CN"/>
        </w:rPr>
        <w:t>强化</w:t>
      </w:r>
      <w:r>
        <w:rPr>
          <w:rFonts w:hint="eastAsia" w:ascii="仿宋" w:hAnsi="仿宋" w:eastAsia="仿宋" w:cs="仿宋"/>
          <w:color w:val="auto"/>
          <w:sz w:val="30"/>
          <w:szCs w:val="30"/>
        </w:rPr>
        <w:t>毕业生跟踪调查服务和再就业安置工作，收集企业信息及相关优秀毕业生资料</w:t>
      </w:r>
      <w:r>
        <w:rPr>
          <w:rFonts w:hint="eastAsia" w:ascii="仿宋" w:hAnsi="仿宋" w:eastAsia="仿宋" w:cs="仿宋"/>
          <w:color w:val="auto"/>
          <w:sz w:val="30"/>
          <w:szCs w:val="30"/>
          <w:lang w:eastAsia="zh-CN"/>
        </w:rPr>
        <w:t>，</w:t>
      </w:r>
      <w:r>
        <w:rPr>
          <w:rFonts w:hint="eastAsia" w:ascii="仿宋" w:hAnsi="仿宋" w:eastAsia="仿宋" w:cs="仿宋"/>
          <w:color w:val="auto"/>
          <w:sz w:val="30"/>
          <w:szCs w:val="30"/>
        </w:rPr>
        <w:t>提高毕业生就业质量。</w:t>
      </w:r>
      <w:r>
        <w:rPr>
          <w:rFonts w:hint="eastAsia" w:ascii="仿宋" w:hAnsi="仿宋" w:eastAsia="仿宋" w:cs="仿宋"/>
          <w:color w:val="auto"/>
          <w:sz w:val="30"/>
          <w:szCs w:val="30"/>
          <w:lang w:val="en-US" w:eastAsia="zh-CN"/>
        </w:rPr>
        <w:t>2023年7月—8月，学校领导赴5家校企合作单位及15家学生实习就业基地进行实地调研走访，了解合作企业的经营状况、人才需求和校企合作协议执行情况，并对毕业生、实习生进行跟踪回访，了解他们的学习生活状况，听取企业和实习生对学校工作的意见和建议。根据调研情况并结合学校新能源汽车等五大省级重点建设专业工学交替、岗位实习的需求等，新增5家校企合作单位，分别是：合肥长安汽车有限公司、合肥壹太电气有限公司、阜阳市兴业财务管理有限公司、阜阳冈奇精密科技有限公司、安徽云康智能科技股份有限公司。</w:t>
      </w:r>
    </w:p>
    <w:p>
      <w:pPr>
        <w:spacing w:line="360" w:lineRule="auto"/>
        <w:ind w:firstLine="600" w:firstLineChars="200"/>
        <w:rPr>
          <w:rFonts w:hint="eastAsia" w:ascii="仿宋" w:hAnsi="仿宋" w:eastAsia="仿宋" w:cs="仿宋"/>
          <w:sz w:val="30"/>
          <w:szCs w:val="30"/>
          <w:lang w:eastAsia="zh-CN"/>
        </w:rPr>
      </w:pPr>
      <w:r>
        <w:rPr>
          <w:rFonts w:hint="eastAsia" w:ascii="仿宋" w:hAnsi="仿宋" w:eastAsia="仿宋" w:cs="仿宋"/>
          <w:kern w:val="2"/>
          <w:sz w:val="30"/>
          <w:szCs w:val="30"/>
          <w:lang w:val="en-US" w:eastAsia="zh-CN"/>
        </w:rPr>
        <w:t>学校每年</w:t>
      </w:r>
      <w:r>
        <w:rPr>
          <w:rFonts w:hint="eastAsia" w:ascii="仿宋" w:hAnsi="仿宋" w:eastAsia="仿宋" w:cs="仿宋"/>
          <w:kern w:val="2"/>
          <w:sz w:val="30"/>
          <w:szCs w:val="30"/>
        </w:rPr>
        <w:t>制定</w:t>
      </w:r>
      <w:r>
        <w:rPr>
          <w:rFonts w:hint="eastAsia" w:ascii="仿宋" w:hAnsi="仿宋" w:eastAsia="仿宋" w:cs="仿宋"/>
          <w:kern w:val="2"/>
          <w:sz w:val="30"/>
          <w:szCs w:val="30"/>
          <w:lang w:val="en-US" w:eastAsia="zh-CN"/>
        </w:rPr>
        <w:t>创新创业</w:t>
      </w:r>
      <w:r>
        <w:rPr>
          <w:rFonts w:hint="eastAsia" w:ascii="仿宋" w:hAnsi="仿宋" w:eastAsia="仿宋" w:cs="仿宋"/>
          <w:kern w:val="2"/>
          <w:sz w:val="30"/>
          <w:szCs w:val="30"/>
        </w:rPr>
        <w:t>年度工作计划</w:t>
      </w:r>
      <w:r>
        <w:rPr>
          <w:rFonts w:hint="eastAsia" w:ascii="仿宋" w:hAnsi="仿宋" w:eastAsia="仿宋" w:cs="仿宋"/>
          <w:kern w:val="2"/>
          <w:sz w:val="30"/>
          <w:szCs w:val="30"/>
          <w:lang w:eastAsia="zh-CN"/>
        </w:rPr>
        <w:t>，</w:t>
      </w:r>
      <w:r>
        <w:rPr>
          <w:rFonts w:hint="eastAsia" w:ascii="仿宋" w:hAnsi="仿宋" w:eastAsia="仿宋" w:cs="仿宋"/>
          <w:kern w:val="2"/>
          <w:sz w:val="30"/>
          <w:szCs w:val="30"/>
        </w:rPr>
        <w:t>有效规范</w:t>
      </w:r>
      <w:r>
        <w:rPr>
          <w:rFonts w:hint="eastAsia" w:ascii="仿宋" w:hAnsi="仿宋" w:eastAsia="仿宋" w:cs="仿宋"/>
          <w:kern w:val="2"/>
          <w:sz w:val="30"/>
          <w:szCs w:val="30"/>
          <w:lang w:eastAsia="zh-CN"/>
        </w:rPr>
        <w:t>开展</w:t>
      </w:r>
      <w:r>
        <w:rPr>
          <w:rFonts w:hint="eastAsia" w:ascii="仿宋" w:hAnsi="仿宋" w:eastAsia="仿宋" w:cs="仿宋"/>
          <w:kern w:val="2"/>
          <w:sz w:val="30"/>
          <w:szCs w:val="30"/>
        </w:rPr>
        <w:t>创业培训教学</w:t>
      </w:r>
      <w:r>
        <w:rPr>
          <w:rFonts w:hint="eastAsia" w:ascii="仿宋" w:hAnsi="仿宋" w:eastAsia="仿宋" w:cs="仿宋"/>
          <w:kern w:val="2"/>
          <w:sz w:val="30"/>
          <w:szCs w:val="30"/>
          <w:lang w:eastAsia="zh-CN"/>
        </w:rPr>
        <w:t>。</w:t>
      </w:r>
      <w:r>
        <w:rPr>
          <w:rFonts w:hint="eastAsia" w:ascii="仿宋" w:hAnsi="仿宋" w:eastAsia="仿宋" w:cs="仿宋"/>
          <w:kern w:val="2"/>
          <w:sz w:val="30"/>
          <w:szCs w:val="30"/>
        </w:rPr>
        <w:t>按照创业培训的要求</w:t>
      </w:r>
      <w:r>
        <w:rPr>
          <w:rFonts w:hint="eastAsia" w:ascii="仿宋" w:hAnsi="仿宋" w:eastAsia="仿宋" w:cs="仿宋"/>
          <w:kern w:val="2"/>
          <w:sz w:val="30"/>
          <w:szCs w:val="30"/>
          <w:lang w:eastAsia="zh-CN"/>
        </w:rPr>
        <w:t>，</w:t>
      </w:r>
      <w:r>
        <w:rPr>
          <w:rFonts w:hint="eastAsia" w:ascii="仿宋" w:hAnsi="仿宋" w:eastAsia="仿宋" w:cs="仿宋"/>
          <w:kern w:val="2"/>
          <w:sz w:val="30"/>
          <w:szCs w:val="30"/>
        </w:rPr>
        <w:t>组织有意愿创业和培训需求的人员参加创业培训，建立学员学生档案，认真做好教学各项工作，通过创业扶持政策解读、案例破解、成功创业者现实说法等方式，切实提高了培训者的创业能力</w:t>
      </w:r>
      <w:r>
        <w:rPr>
          <w:rFonts w:hint="eastAsia" w:ascii="仿宋" w:hAnsi="仿宋" w:eastAsia="仿宋" w:cs="仿宋"/>
          <w:kern w:val="2"/>
          <w:sz w:val="30"/>
          <w:szCs w:val="30"/>
          <w:lang w:eastAsia="zh-CN"/>
        </w:rPr>
        <w:t>。</w:t>
      </w:r>
      <w:r>
        <w:rPr>
          <w:rFonts w:hint="eastAsia" w:ascii="仿宋" w:hAnsi="仿宋" w:eastAsia="仿宋" w:cs="仿宋"/>
          <w:kern w:val="0"/>
          <w:sz w:val="30"/>
          <w:szCs w:val="30"/>
          <w:lang w:val="en-US" w:eastAsia="zh-CN"/>
        </w:rPr>
        <w:t>在学校创新创业培训及一系列政策的保障之下，孙天奇、申利军、岳超、王干杰四位同学在首届安徽省中华职业教育创新创业大赛荣获省级三等奖，</w:t>
      </w:r>
      <w:r>
        <w:rPr>
          <w:rFonts w:hint="eastAsia" w:ascii="仿宋" w:hAnsi="仿宋" w:eastAsia="仿宋" w:cs="仿宋"/>
          <w:kern w:val="0"/>
          <w:sz w:val="30"/>
          <w:szCs w:val="30"/>
        </w:rPr>
        <w:t>毕业生涌现出孙奇等一批优秀的创业</w:t>
      </w:r>
      <w:r>
        <w:rPr>
          <w:rFonts w:hint="eastAsia" w:ascii="仿宋" w:hAnsi="仿宋" w:eastAsia="仿宋" w:cs="仿宋"/>
          <w:kern w:val="0"/>
          <w:sz w:val="30"/>
          <w:szCs w:val="30"/>
          <w:lang w:val="en-US" w:eastAsia="zh-CN"/>
        </w:rPr>
        <w:t>成功</w:t>
      </w:r>
      <w:r>
        <w:rPr>
          <w:rFonts w:hint="eastAsia" w:ascii="仿宋" w:hAnsi="仿宋" w:eastAsia="仿宋" w:cs="仿宋"/>
          <w:kern w:val="0"/>
          <w:sz w:val="30"/>
          <w:szCs w:val="30"/>
        </w:rPr>
        <w:t>典型。</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156" w:afterLines="50"/>
        <w:ind w:firstLine="562" w:firstLineChars="200"/>
        <w:jc w:val="center"/>
        <w:outlineLvl w:val="0"/>
        <w:rPr>
          <w:rFonts w:hint="eastAsia" w:ascii="仿宋" w:hAnsi="仿宋" w:eastAsia="仿宋" w:cs="仿宋"/>
          <w:b/>
          <w:sz w:val="28"/>
          <w:szCs w:val="28"/>
        </w:rPr>
      </w:pPr>
      <w:bookmarkStart w:id="14" w:name="_Toc8883"/>
      <w:r>
        <w:rPr>
          <w:rFonts w:hint="eastAsia" w:ascii="仿宋" w:hAnsi="仿宋" w:eastAsia="仿宋" w:cs="仿宋"/>
          <w:b/>
          <w:sz w:val="28"/>
          <w:szCs w:val="28"/>
        </w:rPr>
        <w:t>表</w:t>
      </w:r>
      <w:r>
        <w:rPr>
          <w:rFonts w:hint="eastAsia" w:ascii="仿宋" w:hAnsi="仿宋" w:eastAsia="仿宋" w:cs="仿宋"/>
          <w:b/>
          <w:sz w:val="28"/>
          <w:szCs w:val="28"/>
          <w:lang w:val="en-US" w:eastAsia="zh-CN"/>
        </w:rPr>
        <w:t>4</w:t>
      </w:r>
      <w:r>
        <w:rPr>
          <w:rFonts w:hint="eastAsia" w:ascii="仿宋" w:hAnsi="仿宋" w:eastAsia="仿宋" w:cs="仿宋"/>
          <w:b/>
          <w:sz w:val="28"/>
          <w:szCs w:val="28"/>
        </w:rPr>
        <w:t xml:space="preserve"> 近两年中等职业学校毕业生就业情况一览表</w:t>
      </w:r>
      <w:bookmarkEnd w:id="14"/>
    </w:p>
    <w:tbl>
      <w:tblPr>
        <w:tblStyle w:val="17"/>
        <w:tblW w:w="10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966"/>
        <w:gridCol w:w="664"/>
        <w:gridCol w:w="1033"/>
        <w:gridCol w:w="1100"/>
        <w:gridCol w:w="1334"/>
        <w:gridCol w:w="750"/>
        <w:gridCol w:w="883"/>
        <w:gridCol w:w="726"/>
        <w:gridCol w:w="89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1184" w:type="dxa"/>
            <w:vMerge w:val="restart"/>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966" w:type="dxa"/>
            <w:vMerge w:val="restart"/>
            <w:noWrap w:val="0"/>
            <w:vAlign w:val="center"/>
          </w:tcPr>
          <w:p>
            <w:pPr>
              <w:adjustRightInd w:val="0"/>
              <w:snapToGrid w:val="0"/>
              <w:spacing w:line="240" w:lineRule="exact"/>
              <w:rPr>
                <w:rFonts w:hint="eastAsia" w:ascii="仿宋" w:hAnsi="仿宋" w:eastAsia="仿宋" w:cs="仿宋"/>
                <w:b/>
                <w:bCs/>
                <w:sz w:val="21"/>
                <w:szCs w:val="21"/>
              </w:rPr>
            </w:pPr>
            <w:r>
              <w:rPr>
                <w:rFonts w:hint="eastAsia" w:ascii="仿宋" w:hAnsi="仿宋" w:eastAsia="仿宋" w:cs="仿宋"/>
                <w:b/>
                <w:bCs/>
                <w:sz w:val="21"/>
                <w:szCs w:val="21"/>
              </w:rPr>
              <w:t>毕业生（人）</w:t>
            </w:r>
          </w:p>
        </w:tc>
        <w:tc>
          <w:tcPr>
            <w:tcW w:w="4131" w:type="dxa"/>
            <w:gridSpan w:val="4"/>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毕业生就业</w:t>
            </w:r>
          </w:p>
        </w:tc>
        <w:tc>
          <w:tcPr>
            <w:tcW w:w="1633" w:type="dxa"/>
            <w:gridSpan w:val="2"/>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升入高等学校</w:t>
            </w:r>
          </w:p>
        </w:tc>
        <w:tc>
          <w:tcPr>
            <w:tcW w:w="726" w:type="dxa"/>
            <w:vMerge w:val="restart"/>
            <w:noWrap w:val="0"/>
            <w:vAlign w:val="top"/>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初次就业起薪（元/月）</w:t>
            </w:r>
          </w:p>
        </w:tc>
        <w:tc>
          <w:tcPr>
            <w:tcW w:w="898" w:type="dxa"/>
            <w:vMerge w:val="restart"/>
            <w:noWrap w:val="0"/>
            <w:vAlign w:val="top"/>
          </w:tcPr>
          <w:p>
            <w:pPr>
              <w:adjustRightInd w:val="0"/>
              <w:snapToGrid w:val="0"/>
              <w:spacing w:line="240" w:lineRule="exact"/>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创业人数</w:t>
            </w:r>
          </w:p>
        </w:tc>
        <w:tc>
          <w:tcPr>
            <w:tcW w:w="898" w:type="dxa"/>
            <w:vMerge w:val="restart"/>
            <w:noWrap w:val="0"/>
            <w:vAlign w:val="top"/>
          </w:tcPr>
          <w:p>
            <w:pPr>
              <w:adjustRightInd w:val="0"/>
              <w:snapToGrid w:val="0"/>
              <w:spacing w:line="240" w:lineRule="exact"/>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创业率</w:t>
            </w:r>
            <w:r>
              <w:rPr>
                <w:rFonts w:hint="eastAsia" w:ascii="仿宋" w:hAnsi="仿宋" w:eastAsia="仿宋" w:cs="仿宋"/>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1184" w:type="dxa"/>
            <w:vMerge w:val="continue"/>
            <w:noWrap w:val="0"/>
            <w:vAlign w:val="center"/>
          </w:tcPr>
          <w:p>
            <w:pPr>
              <w:adjustRightInd w:val="0"/>
              <w:snapToGrid w:val="0"/>
              <w:spacing w:line="240" w:lineRule="exact"/>
              <w:jc w:val="center"/>
              <w:rPr>
                <w:rFonts w:hint="eastAsia" w:ascii="仿宋" w:hAnsi="仿宋" w:eastAsia="仿宋" w:cs="仿宋"/>
                <w:b/>
                <w:bCs/>
                <w:sz w:val="21"/>
                <w:szCs w:val="21"/>
              </w:rPr>
            </w:pPr>
          </w:p>
        </w:tc>
        <w:tc>
          <w:tcPr>
            <w:tcW w:w="966" w:type="dxa"/>
            <w:vMerge w:val="continue"/>
            <w:noWrap w:val="0"/>
            <w:vAlign w:val="center"/>
          </w:tcPr>
          <w:p>
            <w:pPr>
              <w:adjustRightInd w:val="0"/>
              <w:snapToGrid w:val="0"/>
              <w:spacing w:line="240" w:lineRule="exact"/>
              <w:jc w:val="center"/>
              <w:rPr>
                <w:rFonts w:hint="eastAsia" w:ascii="仿宋" w:hAnsi="仿宋" w:eastAsia="仿宋" w:cs="仿宋"/>
                <w:b/>
                <w:bCs/>
                <w:sz w:val="21"/>
                <w:szCs w:val="21"/>
              </w:rPr>
            </w:pPr>
          </w:p>
        </w:tc>
        <w:tc>
          <w:tcPr>
            <w:tcW w:w="664" w:type="dxa"/>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人数</w:t>
            </w:r>
          </w:p>
        </w:tc>
        <w:tc>
          <w:tcPr>
            <w:tcW w:w="1033" w:type="dxa"/>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就业率</w:t>
            </w:r>
          </w:p>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w:t>
            </w:r>
          </w:p>
        </w:tc>
        <w:tc>
          <w:tcPr>
            <w:tcW w:w="1100" w:type="dxa"/>
            <w:noWrap w:val="0"/>
            <w:vAlign w:val="center"/>
          </w:tcPr>
          <w:p>
            <w:pPr>
              <w:adjustRightInd w:val="0"/>
              <w:snapToGrid w:val="0"/>
              <w:spacing w:line="240" w:lineRule="exact"/>
              <w:jc w:val="cente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对口就业人数</w:t>
            </w:r>
          </w:p>
        </w:tc>
        <w:tc>
          <w:tcPr>
            <w:tcW w:w="1334" w:type="dxa"/>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对口就业率（%）</w:t>
            </w:r>
          </w:p>
        </w:tc>
        <w:tc>
          <w:tcPr>
            <w:tcW w:w="750" w:type="dxa"/>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人数</w:t>
            </w:r>
          </w:p>
        </w:tc>
        <w:tc>
          <w:tcPr>
            <w:tcW w:w="883" w:type="dxa"/>
            <w:noWrap w:val="0"/>
            <w:vAlign w:val="center"/>
          </w:tcPr>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比例</w:t>
            </w:r>
          </w:p>
          <w:p>
            <w:pPr>
              <w:adjustRightInd w:val="0"/>
              <w:snapToGrid w:val="0"/>
              <w:spacing w:line="240" w:lineRule="exact"/>
              <w:jc w:val="center"/>
              <w:rPr>
                <w:rFonts w:hint="eastAsia" w:ascii="仿宋" w:hAnsi="仿宋" w:eastAsia="仿宋" w:cs="仿宋"/>
                <w:b/>
                <w:bCs/>
                <w:sz w:val="21"/>
                <w:szCs w:val="21"/>
              </w:rPr>
            </w:pPr>
            <w:r>
              <w:rPr>
                <w:rFonts w:hint="eastAsia" w:ascii="仿宋" w:hAnsi="仿宋" w:eastAsia="仿宋" w:cs="仿宋"/>
                <w:b/>
                <w:bCs/>
                <w:sz w:val="21"/>
                <w:szCs w:val="21"/>
              </w:rPr>
              <w:t>（%）</w:t>
            </w:r>
          </w:p>
        </w:tc>
        <w:tc>
          <w:tcPr>
            <w:tcW w:w="726" w:type="dxa"/>
            <w:vMerge w:val="continue"/>
            <w:noWrap w:val="0"/>
            <w:vAlign w:val="center"/>
          </w:tcPr>
          <w:p>
            <w:pPr>
              <w:adjustRightInd w:val="0"/>
              <w:snapToGrid w:val="0"/>
              <w:spacing w:line="240" w:lineRule="exact"/>
              <w:jc w:val="center"/>
              <w:rPr>
                <w:rFonts w:hint="eastAsia" w:ascii="仿宋" w:hAnsi="仿宋" w:eastAsia="仿宋" w:cs="仿宋"/>
                <w:b/>
                <w:bCs/>
                <w:sz w:val="21"/>
                <w:szCs w:val="21"/>
              </w:rPr>
            </w:pPr>
          </w:p>
        </w:tc>
        <w:tc>
          <w:tcPr>
            <w:tcW w:w="898" w:type="dxa"/>
            <w:vMerge w:val="continue"/>
            <w:noWrap w:val="0"/>
            <w:vAlign w:val="center"/>
          </w:tcPr>
          <w:p>
            <w:pPr>
              <w:adjustRightInd w:val="0"/>
              <w:snapToGrid w:val="0"/>
              <w:spacing w:line="240" w:lineRule="exact"/>
              <w:jc w:val="center"/>
              <w:rPr>
                <w:rFonts w:hint="eastAsia" w:ascii="仿宋" w:hAnsi="仿宋" w:eastAsia="仿宋" w:cs="仿宋"/>
                <w:b/>
                <w:bCs/>
                <w:sz w:val="21"/>
                <w:szCs w:val="21"/>
              </w:rPr>
            </w:pPr>
          </w:p>
        </w:tc>
        <w:tc>
          <w:tcPr>
            <w:tcW w:w="898" w:type="dxa"/>
            <w:vMerge w:val="continue"/>
            <w:noWrap w:val="0"/>
            <w:vAlign w:val="center"/>
          </w:tcPr>
          <w:p>
            <w:pPr>
              <w:adjustRightInd w:val="0"/>
              <w:snapToGrid w:val="0"/>
              <w:spacing w:line="240" w:lineRule="exact"/>
              <w:jc w:val="center"/>
              <w:rPr>
                <w:rFonts w:hint="eastAsia"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184" w:type="dxa"/>
            <w:noWrap w:val="0"/>
            <w:vAlign w:val="center"/>
          </w:tcPr>
          <w:p>
            <w:pPr>
              <w:spacing w:line="240" w:lineRule="atLeast"/>
              <w:jc w:val="center"/>
              <w:rPr>
                <w:rFonts w:hint="eastAsia" w:ascii="仿宋" w:hAnsi="仿宋" w:eastAsia="仿宋" w:cs="仿宋"/>
                <w:b/>
                <w:sz w:val="21"/>
                <w:szCs w:val="21"/>
              </w:rPr>
            </w:pPr>
            <w:r>
              <w:rPr>
                <w:rFonts w:hint="eastAsia" w:ascii="仿宋" w:hAnsi="仿宋" w:eastAsia="仿宋" w:cs="仿宋"/>
                <w:b/>
                <w:sz w:val="21"/>
                <w:szCs w:val="21"/>
                <w:lang w:val="en-US" w:eastAsia="zh-CN"/>
              </w:rPr>
              <w:t>2021—2022</w:t>
            </w:r>
          </w:p>
        </w:tc>
        <w:tc>
          <w:tcPr>
            <w:tcW w:w="966"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1674</w:t>
            </w:r>
          </w:p>
        </w:tc>
        <w:tc>
          <w:tcPr>
            <w:tcW w:w="664"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774</w:t>
            </w:r>
          </w:p>
        </w:tc>
        <w:tc>
          <w:tcPr>
            <w:tcW w:w="1033"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46%</w:t>
            </w:r>
          </w:p>
        </w:tc>
        <w:tc>
          <w:tcPr>
            <w:tcW w:w="1100"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682</w:t>
            </w:r>
          </w:p>
        </w:tc>
        <w:tc>
          <w:tcPr>
            <w:tcW w:w="1334"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88</w:t>
            </w:r>
          </w:p>
        </w:tc>
        <w:tc>
          <w:tcPr>
            <w:tcW w:w="750"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900</w:t>
            </w:r>
          </w:p>
        </w:tc>
        <w:tc>
          <w:tcPr>
            <w:tcW w:w="883"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54</w:t>
            </w:r>
          </w:p>
        </w:tc>
        <w:tc>
          <w:tcPr>
            <w:tcW w:w="726"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2720</w:t>
            </w:r>
          </w:p>
        </w:tc>
        <w:tc>
          <w:tcPr>
            <w:tcW w:w="898"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52</w:t>
            </w:r>
          </w:p>
        </w:tc>
        <w:tc>
          <w:tcPr>
            <w:tcW w:w="898" w:type="dxa"/>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184" w:type="dxa"/>
            <w:noWrap w:val="0"/>
            <w:vAlign w:val="center"/>
          </w:tcPr>
          <w:p>
            <w:pPr>
              <w:spacing w:line="240" w:lineRule="atLeast"/>
              <w:jc w:val="center"/>
              <w:rPr>
                <w:rFonts w:hint="eastAsia" w:ascii="仿宋" w:hAnsi="仿宋" w:eastAsia="仿宋" w:cs="仿宋"/>
                <w:b/>
                <w:sz w:val="21"/>
                <w:szCs w:val="21"/>
                <w:lang w:val="en-US" w:eastAsia="zh-CN"/>
              </w:rPr>
            </w:pPr>
            <w:r>
              <w:rPr>
                <w:rFonts w:hint="eastAsia" w:ascii="仿宋" w:hAnsi="仿宋" w:eastAsia="仿宋" w:cs="仿宋"/>
                <w:b/>
                <w:sz w:val="21"/>
                <w:szCs w:val="21"/>
                <w:lang w:val="en-US" w:eastAsia="zh-CN"/>
              </w:rPr>
              <w:t>2022—2023</w:t>
            </w:r>
          </w:p>
        </w:tc>
        <w:tc>
          <w:tcPr>
            <w:tcW w:w="966"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1714</w:t>
            </w:r>
          </w:p>
        </w:tc>
        <w:tc>
          <w:tcPr>
            <w:tcW w:w="664"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963</w:t>
            </w:r>
          </w:p>
        </w:tc>
        <w:tc>
          <w:tcPr>
            <w:tcW w:w="1033"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56</w:t>
            </w:r>
          </w:p>
        </w:tc>
        <w:tc>
          <w:tcPr>
            <w:tcW w:w="1100"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865</w:t>
            </w:r>
          </w:p>
        </w:tc>
        <w:tc>
          <w:tcPr>
            <w:tcW w:w="1334" w:type="dxa"/>
            <w:tcBorders>
              <w:bottom w:val="single" w:color="auto" w:sz="4" w:space="0"/>
            </w:tcBorders>
            <w:noWrap w:val="0"/>
            <w:vAlign w:val="center"/>
          </w:tcPr>
          <w:p>
            <w:pPr>
              <w:adjustRightInd w:val="0"/>
              <w:snapToGrid w:val="0"/>
              <w:spacing w:line="220" w:lineRule="atLeast"/>
              <w:ind w:firstLine="420" w:firstLineChars="200"/>
              <w:jc w:val="both"/>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89.8</w:t>
            </w:r>
          </w:p>
        </w:tc>
        <w:tc>
          <w:tcPr>
            <w:tcW w:w="750"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753</w:t>
            </w:r>
          </w:p>
        </w:tc>
        <w:tc>
          <w:tcPr>
            <w:tcW w:w="883"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44</w:t>
            </w:r>
          </w:p>
        </w:tc>
        <w:tc>
          <w:tcPr>
            <w:tcW w:w="726"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5200</w:t>
            </w:r>
          </w:p>
        </w:tc>
        <w:tc>
          <w:tcPr>
            <w:tcW w:w="898"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21</w:t>
            </w:r>
          </w:p>
        </w:tc>
        <w:tc>
          <w:tcPr>
            <w:tcW w:w="898" w:type="dxa"/>
            <w:tcBorders>
              <w:bottom w:val="single" w:color="auto" w:sz="4" w:space="0"/>
            </w:tcBorders>
            <w:noWrap w:val="0"/>
            <w:vAlign w:val="center"/>
          </w:tcPr>
          <w:p>
            <w:pPr>
              <w:adjustRightInd w:val="0"/>
              <w:snapToGrid w:val="0"/>
              <w:spacing w:line="22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1.2</w:t>
            </w:r>
          </w:p>
        </w:tc>
      </w:tr>
    </w:tbl>
    <w:p>
      <w:pPr>
        <w:spacing w:line="240" w:lineRule="auto"/>
        <w:jc w:val="center"/>
        <w:rPr>
          <w:rFonts w:hint="eastAsia" w:ascii="仿宋_GB2312" w:hAnsi="仿宋_GB2312" w:eastAsia="仿宋_GB2312" w:cs="仿宋_GB2312"/>
          <w:b/>
          <w:bCs/>
          <w:i w:val="0"/>
          <w:iCs w:val="0"/>
          <w:caps w:val="0"/>
          <w:color w:val="333333"/>
          <w:spacing w:val="0"/>
          <w:sz w:val="32"/>
          <w:szCs w:val="32"/>
          <w:shd w:val="clear" w:color="auto" w:fill="FFFFFF"/>
          <w:lang w:val="en-US" w:eastAsia="zh-CN"/>
        </w:rPr>
      </w:pPr>
      <w:r>
        <w:rPr>
          <w:rFonts w:ascii="宋体" w:hAnsi="宋体" w:eastAsia="宋体" w:cs="宋体"/>
          <w:sz w:val="24"/>
          <w:szCs w:val="24"/>
        </w:rPr>
        <w:drawing>
          <wp:inline distT="0" distB="0" distL="114300" distR="114300">
            <wp:extent cx="4838065" cy="2964815"/>
            <wp:effectExtent l="0" t="0" r="635" b="698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3"/>
                    <a:stretch>
                      <a:fillRect/>
                    </a:stretch>
                  </pic:blipFill>
                  <pic:spPr>
                    <a:xfrm>
                      <a:off x="0" y="0"/>
                      <a:ext cx="4838065" cy="2964815"/>
                    </a:xfrm>
                    <a:prstGeom prst="rect">
                      <a:avLst/>
                    </a:prstGeom>
                    <a:noFill/>
                    <a:ln w="9525">
                      <a:noFill/>
                    </a:ln>
                  </pic:spPr>
                </pic:pic>
              </a:graphicData>
            </a:graphic>
          </wp:inline>
        </w:drawing>
      </w:r>
    </w:p>
    <w:p>
      <w:pPr>
        <w:tabs>
          <w:tab w:val="left" w:pos="479"/>
        </w:tabs>
        <w:spacing w:line="240" w:lineRule="auto"/>
        <w:ind w:firstLine="482" w:firstLineChars="200"/>
        <w:rPr>
          <w:rFonts w:hint="eastAsia" w:ascii="仿宋" w:hAnsi="仿宋" w:eastAsia="仿宋" w:cs="仿宋"/>
          <w:b/>
          <w:sz w:val="32"/>
          <w:szCs w:val="32"/>
          <w:lang w:val="en-US" w:eastAsia="zh-CN"/>
        </w:rPr>
      </w:pPr>
      <w:r>
        <w:rPr>
          <w:rFonts w:hint="eastAsia" w:ascii="仿宋" w:hAnsi="仿宋" w:eastAsia="仿宋" w:cs="仿宋"/>
          <w:b/>
          <w:sz w:val="24"/>
          <w:szCs w:val="24"/>
          <w:lang w:val="en-US" w:eastAsia="zh-CN"/>
        </w:rPr>
        <w:tab/>
      </w:r>
      <w:r>
        <w:rPr>
          <w:rFonts w:hint="eastAsia" w:ascii="仿宋" w:hAnsi="仿宋" w:eastAsia="仿宋" w:cs="仿宋"/>
          <w:b/>
          <w:sz w:val="24"/>
          <w:szCs w:val="24"/>
          <w:lang w:val="en-US" w:eastAsia="zh-CN"/>
        </w:rPr>
        <w:t xml:space="preserve">                      校园双选会</w:t>
      </w:r>
    </w:p>
    <w:p>
      <w:pPr>
        <w:numPr>
          <w:ilvl w:val="0"/>
          <w:numId w:val="0"/>
        </w:numPr>
        <w:spacing w:line="520" w:lineRule="exact"/>
        <w:ind w:firstLine="602" w:firstLineChars="200"/>
        <w:rPr>
          <w:rFonts w:hint="eastAsia" w:eastAsia="仿宋"/>
          <w:sz w:val="30"/>
          <w:szCs w:val="30"/>
          <w:lang w:val="en-US" w:eastAsia="zh-CN"/>
        </w:rPr>
      </w:pPr>
      <w:r>
        <w:rPr>
          <w:rFonts w:hint="eastAsia" w:ascii="仿宋" w:hAnsi="仿宋" w:eastAsia="仿宋" w:cs="仿宋"/>
          <w:b/>
          <w:bCs w:val="0"/>
          <w:color w:val="auto"/>
          <w:sz w:val="30"/>
          <w:szCs w:val="30"/>
          <w:lang w:val="en-US" w:eastAsia="zh-CN"/>
        </w:rPr>
        <w:t xml:space="preserve">案例1.持续推进家校协同育人。 </w:t>
      </w:r>
      <w:r>
        <w:rPr>
          <w:rFonts w:hint="eastAsia" w:ascii="仿宋" w:hAnsi="仿宋" w:eastAsia="仿宋" w:cs="仿宋"/>
          <w:b w:val="0"/>
          <w:bCs/>
          <w:color w:val="auto"/>
          <w:sz w:val="30"/>
          <w:szCs w:val="30"/>
          <w:lang w:val="en-US" w:eastAsia="zh-CN"/>
        </w:rPr>
        <w:t>根据新时代中职生特点，学校不断修订完善《班主任选聘、管理办法》和《班主任量化考核办法》，切实推进加强班风学风建设，在班主任实际带班和育人实践中取得建设一定的成效并及时调整完善，班主任工作职责和权利明确，待遇保障有力，成长激励机制健全。为进一步推进家庭和学校协同育人，学校充分发挥了协同育人主导作用，建立家校联系台账，通过电话、微信、班级家长群、家长座谈会等形式，及时沟通学生情况、加强家庭教育指导，并提出班主任每学年对学生开展一次家访，形成立体式关注学生成长和变化，为学生健康成长保驾护航。</w:t>
      </w:r>
    </w:p>
    <w:p>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i w:val="0"/>
          <w:iCs w:val="0"/>
          <w:caps w:val="0"/>
          <w:color w:val="07133E"/>
          <w:spacing w:val="4"/>
          <w:kern w:val="0"/>
          <w:sz w:val="30"/>
          <w:szCs w:val="30"/>
          <w:lang w:val="en-US" w:eastAsia="zh-CN" w:bidi="ar"/>
        </w:rPr>
      </w:pPr>
      <w:r>
        <w:rPr>
          <w:rFonts w:hint="eastAsia" w:ascii="仿宋" w:hAnsi="仿宋" w:eastAsia="仿宋" w:cs="仿宋"/>
          <w:b/>
          <w:sz w:val="30"/>
          <w:szCs w:val="30"/>
          <w:lang w:val="en-US" w:eastAsia="zh-CN"/>
        </w:rPr>
        <w:t>案例2.</w:t>
      </w:r>
      <w:r>
        <w:rPr>
          <w:rFonts w:hint="eastAsia" w:ascii="仿宋" w:hAnsi="仿宋" w:eastAsia="仿宋" w:cs="仿宋"/>
          <w:b/>
          <w:bCs/>
          <w:i w:val="0"/>
          <w:iCs w:val="0"/>
          <w:caps w:val="0"/>
          <w:color w:val="07133E"/>
          <w:spacing w:val="4"/>
          <w:kern w:val="0"/>
          <w:sz w:val="30"/>
          <w:szCs w:val="30"/>
          <w:lang w:val="en-US" w:eastAsia="zh-CN" w:bidi="ar"/>
        </w:rPr>
        <w:t>树立品牌活动育人。</w:t>
      </w:r>
      <w:r>
        <w:rPr>
          <w:rFonts w:hint="eastAsia" w:ascii="仿宋" w:hAnsi="仿宋" w:eastAsia="仿宋" w:cs="仿宋"/>
          <w:b w:val="0"/>
          <w:bCs w:val="0"/>
          <w:i w:val="0"/>
          <w:iCs w:val="0"/>
          <w:caps w:val="0"/>
          <w:color w:val="07133E"/>
          <w:spacing w:val="4"/>
          <w:kern w:val="0"/>
          <w:sz w:val="30"/>
          <w:szCs w:val="30"/>
          <w:lang w:val="en-US" w:eastAsia="zh-CN" w:bidi="ar"/>
        </w:rPr>
        <w:t>学校</w:t>
      </w:r>
      <w:r>
        <w:rPr>
          <w:rFonts w:hint="eastAsia" w:ascii="仿宋" w:hAnsi="仿宋" w:eastAsia="仿宋" w:cs="仿宋"/>
          <w:i w:val="0"/>
          <w:iCs w:val="0"/>
          <w:caps w:val="0"/>
          <w:color w:val="07133E"/>
          <w:spacing w:val="4"/>
          <w:kern w:val="0"/>
          <w:sz w:val="30"/>
          <w:szCs w:val="30"/>
          <w:lang w:val="en-US" w:eastAsia="zh-CN" w:bidi="ar"/>
        </w:rPr>
        <w:t>在常规社团活动的基础上，紧扣“学系列讲话、做合格团员”教育，紧紧抓住建党、建国、建军和五四等重要时间节点，组织开展形式多样、丰富多彩、各具特色的学习和纪念活动，如2019年“不忘初心，唱响未来”庆祝建国70周年合唱比赛、2021年庆祝建党100周年系列活动、2022年学习二十大精神合唱比赛等。学校已然形成品牌的固定大型活动主要有：1月份“微宣讲”学生宣讲团，3月份学雷锋志愿者服务，4月份清明诗会和读书月活动，5月份入团仪式，9月份“最美的祝福送给最爱的老师”祝福心语活动，10月份迎国庆爱国主义活动，12月份校园文化艺术节及元旦联欢会，成果丰硕。</w:t>
      </w:r>
    </w:p>
    <w:p>
      <w:pPr>
        <w:keepNext w:val="0"/>
        <w:keepLines w:val="0"/>
        <w:pageBreakBefore w:val="0"/>
        <w:kinsoku/>
        <w:wordWrap/>
        <w:overflowPunct/>
        <w:topLinePunct w:val="0"/>
        <w:autoSpaceDE/>
        <w:autoSpaceDN/>
        <w:bidi w:val="0"/>
        <w:adjustRightInd/>
        <w:snapToGrid/>
        <w:spacing w:line="480" w:lineRule="auto"/>
        <w:ind w:firstLine="618" w:firstLineChars="200"/>
        <w:textAlignment w:val="auto"/>
        <w:rPr>
          <w:rFonts w:hint="default"/>
          <w:sz w:val="30"/>
          <w:szCs w:val="30"/>
          <w:lang w:val="en-US" w:eastAsia="zh-CN"/>
        </w:rPr>
      </w:pPr>
      <w:r>
        <w:rPr>
          <w:rFonts w:hint="eastAsia" w:ascii="仿宋" w:hAnsi="仿宋" w:eastAsia="仿宋" w:cs="仿宋"/>
          <w:b/>
          <w:bCs/>
          <w:i w:val="0"/>
          <w:iCs w:val="0"/>
          <w:caps w:val="0"/>
          <w:color w:val="07133E"/>
          <w:spacing w:val="4"/>
          <w:kern w:val="0"/>
          <w:sz w:val="30"/>
          <w:szCs w:val="30"/>
          <w:lang w:val="en-US" w:eastAsia="zh-CN" w:bidi="ar"/>
        </w:rPr>
        <w:t>案例3</w:t>
      </w:r>
      <w:r>
        <w:rPr>
          <w:rFonts w:hint="eastAsia" w:ascii="仿宋" w:hAnsi="仿宋" w:eastAsia="仿宋" w:cs="仿宋"/>
          <w:b/>
          <w:bCs/>
          <w:sz w:val="30"/>
          <w:szCs w:val="30"/>
          <w:lang w:val="en-US" w:eastAsia="zh-CN"/>
        </w:rPr>
        <w:t>网络育人。</w:t>
      </w:r>
      <w:r>
        <w:rPr>
          <w:rFonts w:hint="eastAsia" w:ascii="仿宋" w:hAnsi="仿宋" w:eastAsia="仿宋" w:cs="仿宋"/>
          <w:b w:val="0"/>
          <w:bCs w:val="0"/>
          <w:sz w:val="30"/>
          <w:szCs w:val="30"/>
          <w:lang w:val="en-US" w:eastAsia="zh-CN"/>
        </w:rPr>
        <w:t>学校</w:t>
      </w:r>
      <w:r>
        <w:rPr>
          <w:rFonts w:hint="eastAsia" w:ascii="仿宋" w:hAnsi="仿宋" w:eastAsia="仿宋" w:cs="仿宋"/>
          <w:b w:val="0"/>
          <w:kern w:val="2"/>
          <w:sz w:val="30"/>
          <w:szCs w:val="30"/>
          <w:lang w:val="en-US" w:eastAsia="zh-CN" w:bidi="ar-SA"/>
        </w:rPr>
        <w:t>重视网络文明建设，制定有关工作制度，对推动网络文明教育进行整体设计和系统规划。加强师生网络素养教育，开展具有针对性的培养培训。引导师生增强网络安全意识，遵守网络行为规范，养成文明网络生活方式。在2022年9月18日至24日举行全校网络安全知识宣传教育活动，通过网络安全知识的宣传，有效提高了我校师生对网络安全风险和金融网络风险的防御能力。学生通过网络安全教育懂得了如何避免浏览不良网站，学会让网络帮助自己的学习，用网络开拓自己的视野，丰富自己的知识，合理利用网络多方位的提升自己。学校利用“班班通”设备组织学生收看网络安全宣传片，并在11月25日下午安排了一次网络安全主题班会，让学生学习网络安全相关知识。</w:t>
      </w:r>
      <w:bookmarkStart w:id="46" w:name="_GoBack"/>
      <w:bookmarkEnd w:id="46"/>
    </w:p>
    <w:p>
      <w:pPr>
        <w:spacing w:line="240" w:lineRule="auto"/>
        <w:ind w:firstLine="602" w:firstLineChars="200"/>
        <w:outlineLvl w:val="0"/>
        <w:rPr>
          <w:rFonts w:hint="eastAsia" w:ascii="仿宋" w:hAnsi="仿宋" w:eastAsia="仿宋" w:cs="仿宋"/>
          <w:b/>
          <w:sz w:val="30"/>
          <w:szCs w:val="30"/>
          <w:lang w:val="en-US" w:eastAsia="zh-CN"/>
        </w:rPr>
      </w:pPr>
      <w:bookmarkStart w:id="15" w:name="_Toc20592"/>
      <w:r>
        <w:rPr>
          <w:rFonts w:hint="eastAsia" w:ascii="仿宋" w:hAnsi="仿宋" w:eastAsia="仿宋" w:cs="仿宋"/>
          <w:b/>
          <w:sz w:val="30"/>
          <w:szCs w:val="30"/>
          <w:lang w:val="en-US" w:eastAsia="zh-CN"/>
        </w:rPr>
        <w:t>三、教育教学质量</w:t>
      </w:r>
      <w:bookmarkEnd w:id="15"/>
    </w:p>
    <w:p>
      <w:pPr>
        <w:spacing w:line="360" w:lineRule="auto"/>
        <w:ind w:firstLine="602" w:firstLineChars="200"/>
        <w:outlineLvl w:val="1"/>
        <w:rPr>
          <w:rFonts w:hint="eastAsia" w:ascii="仿宋" w:hAnsi="仿宋" w:eastAsia="仿宋" w:cs="仿宋"/>
          <w:b/>
          <w:sz w:val="30"/>
          <w:szCs w:val="30"/>
          <w:lang w:val="en-US" w:eastAsia="zh-CN"/>
        </w:rPr>
      </w:pPr>
      <w:bookmarkStart w:id="16" w:name="_Toc5163"/>
      <w:r>
        <w:rPr>
          <w:rFonts w:hint="eastAsia" w:ascii="仿宋" w:hAnsi="仿宋" w:eastAsia="仿宋" w:cs="仿宋"/>
          <w:b/>
          <w:sz w:val="30"/>
          <w:szCs w:val="30"/>
          <w:lang w:val="en-US" w:eastAsia="zh-CN"/>
        </w:rPr>
        <w:t>3.1专业建设</w:t>
      </w:r>
      <w:bookmarkEnd w:id="16"/>
    </w:p>
    <w:p>
      <w:pPr>
        <w:ind w:firstLine="600" w:firstLineChars="200"/>
        <w:rPr>
          <w:rFonts w:hint="eastAsia" w:ascii="仿宋" w:hAnsi="仿宋" w:eastAsia="仿宋" w:cs="仿宋"/>
          <w:sz w:val="30"/>
          <w:szCs w:val="30"/>
        </w:rPr>
      </w:pPr>
      <w:r>
        <w:rPr>
          <w:rFonts w:hint="eastAsia" w:ascii="仿宋" w:hAnsi="仿宋" w:eastAsia="仿宋" w:cs="仿宋"/>
          <w:sz w:val="30"/>
          <w:szCs w:val="30"/>
        </w:rPr>
        <w:t>学校紧跟地区产业发展步伐，淘汰不适应市场专业，进行专业优化。学校现有</w:t>
      </w:r>
      <w:r>
        <w:rPr>
          <w:rFonts w:hint="eastAsia" w:ascii="仿宋" w:hAnsi="仿宋" w:eastAsia="仿宋" w:cs="仿宋"/>
          <w:sz w:val="30"/>
          <w:szCs w:val="30"/>
          <w:lang w:val="en-US" w:eastAsia="zh-CN"/>
        </w:rPr>
        <w:t>计</w:t>
      </w:r>
      <w:r>
        <w:rPr>
          <w:rFonts w:hint="eastAsia" w:ascii="仿宋" w:hAnsi="仿宋" w:eastAsia="仿宋" w:cs="仿宋"/>
          <w:sz w:val="30"/>
          <w:szCs w:val="30"/>
        </w:rPr>
        <w:t>算机应用、汽车运用与维修、会计电算化、社会文化艺术（幼师方向）等</w:t>
      </w:r>
      <w:r>
        <w:rPr>
          <w:rFonts w:hint="eastAsia" w:ascii="仿宋" w:hAnsi="仿宋" w:eastAsia="仿宋" w:cs="仿宋"/>
          <w:sz w:val="30"/>
          <w:szCs w:val="30"/>
          <w:lang w:val="en-US" w:eastAsia="zh-CN"/>
        </w:rPr>
        <w:t>23</w:t>
      </w:r>
      <w:r>
        <w:rPr>
          <w:rFonts w:hint="eastAsia" w:ascii="仿宋" w:hAnsi="仿宋" w:eastAsia="仿宋" w:cs="仿宋"/>
          <w:sz w:val="30"/>
          <w:szCs w:val="30"/>
        </w:rPr>
        <w:t>个稳定专业。</w:t>
      </w:r>
      <w:r>
        <w:rPr>
          <w:rFonts w:hint="eastAsia" w:ascii="仿宋" w:hAnsi="仿宋" w:eastAsia="仿宋" w:cs="仿宋"/>
          <w:sz w:val="30"/>
          <w:szCs w:val="30"/>
          <w:lang w:val="en-US" w:eastAsia="zh-CN"/>
        </w:rPr>
        <w:t>学校</w:t>
      </w:r>
      <w:r>
        <w:rPr>
          <w:rFonts w:hint="eastAsia" w:ascii="仿宋" w:hAnsi="仿宋" w:eastAsia="仿宋" w:cs="仿宋"/>
          <w:sz w:val="30"/>
          <w:szCs w:val="30"/>
        </w:rPr>
        <w:t>大力加强专业建设，不断提升专业建设水平，主干专业</w:t>
      </w:r>
      <w:r>
        <w:rPr>
          <w:rFonts w:hint="eastAsia" w:ascii="仿宋" w:hAnsi="仿宋" w:eastAsia="仿宋" w:cs="仿宋"/>
          <w:sz w:val="30"/>
          <w:szCs w:val="30"/>
          <w:lang w:val="en-US" w:eastAsia="zh-CN"/>
        </w:rPr>
        <w:t>汽车运用与维修、计算机应用、数控技术应用、会计电算化、电子商务等5个专业</w:t>
      </w:r>
      <w:r>
        <w:rPr>
          <w:rFonts w:hint="eastAsia" w:ascii="仿宋" w:hAnsi="仿宋" w:eastAsia="仿宋" w:cs="仿宋"/>
          <w:sz w:val="30"/>
          <w:szCs w:val="30"/>
        </w:rPr>
        <w:t>实现了教学、实训一体化，学生职业道德、职业精神培养与技术技能训练高度融合</w:t>
      </w:r>
      <w:r>
        <w:rPr>
          <w:rFonts w:hint="eastAsia" w:ascii="仿宋" w:hAnsi="仿宋" w:eastAsia="仿宋" w:cs="仿宋"/>
          <w:sz w:val="30"/>
          <w:szCs w:val="30"/>
          <w:lang w:eastAsia="zh-CN"/>
        </w:rPr>
        <w:t>。</w:t>
      </w:r>
      <w:r>
        <w:rPr>
          <w:rFonts w:hint="eastAsia" w:ascii="仿宋" w:hAnsi="仿宋" w:eastAsia="仿宋" w:cs="仿宋"/>
          <w:b/>
          <w:bCs/>
          <w:sz w:val="30"/>
          <w:szCs w:val="30"/>
          <w:lang w:val="en-US" w:eastAsia="zh-CN"/>
        </w:rPr>
        <w:t>目前五大专干专业均是安徽省级示范专业</w:t>
      </w:r>
      <w:r>
        <w:rPr>
          <w:rFonts w:hint="eastAsia" w:ascii="仿宋" w:hAnsi="仿宋" w:eastAsia="仿宋" w:cs="仿宋"/>
          <w:sz w:val="30"/>
          <w:szCs w:val="30"/>
          <w:lang w:val="en-US" w:eastAsia="zh-CN"/>
        </w:rPr>
        <w:t>，专业建设内容与阜阳市“十四五规划”产业高度契合，为</w:t>
      </w:r>
      <w:r>
        <w:rPr>
          <w:rFonts w:hint="eastAsia" w:ascii="仿宋" w:hAnsi="仿宋" w:eastAsia="仿宋" w:cs="仿宋"/>
          <w:sz w:val="30"/>
          <w:szCs w:val="30"/>
        </w:rPr>
        <w:t>阜阳经济发展</w:t>
      </w:r>
      <w:r>
        <w:rPr>
          <w:rFonts w:hint="eastAsia" w:ascii="仿宋" w:hAnsi="仿宋" w:eastAsia="仿宋" w:cs="仿宋"/>
          <w:sz w:val="30"/>
          <w:szCs w:val="30"/>
          <w:lang w:val="en-US" w:eastAsia="zh-CN"/>
        </w:rPr>
        <w:t>提供助力</w:t>
      </w:r>
      <w:r>
        <w:rPr>
          <w:rFonts w:hint="eastAsia" w:ascii="仿宋" w:hAnsi="仿宋" w:eastAsia="仿宋" w:cs="仿宋"/>
          <w:sz w:val="30"/>
          <w:szCs w:val="30"/>
        </w:rPr>
        <w:t>。</w:t>
      </w:r>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学校紧跟</w:t>
      </w:r>
      <w:r>
        <w:rPr>
          <w:rFonts w:hint="eastAsia" w:ascii="仿宋" w:hAnsi="仿宋" w:eastAsia="仿宋" w:cs="仿宋"/>
          <w:sz w:val="30"/>
          <w:szCs w:val="30"/>
          <w:lang w:val="en-US" w:eastAsia="zh-CN"/>
        </w:rPr>
        <w:t>市场</w:t>
      </w:r>
      <w:r>
        <w:rPr>
          <w:rFonts w:hint="eastAsia" w:ascii="仿宋" w:hAnsi="仿宋" w:eastAsia="仿宋" w:cs="仿宋"/>
          <w:sz w:val="30"/>
          <w:szCs w:val="30"/>
        </w:rPr>
        <w:t>发展对专业课程进行调整，根据需求及时修订各专业的人才培养方案，严格遵照专业人才培养方案进行教学组织，学生的理论、专业学习、实操时间比例合理，课程设置科学，根据学段的特点组织专业认知、实习实训等</w:t>
      </w:r>
      <w:r>
        <w:rPr>
          <w:rFonts w:hint="eastAsia" w:ascii="仿宋" w:hAnsi="仿宋" w:eastAsia="仿宋" w:cs="仿宋"/>
          <w:sz w:val="30"/>
          <w:szCs w:val="30"/>
          <w:lang w:eastAsia="zh-CN"/>
        </w:rPr>
        <w:t>。</w:t>
      </w:r>
    </w:p>
    <w:p>
      <w:pPr>
        <w:ind w:firstLine="600" w:firstLineChars="200"/>
        <w:rPr>
          <w:rFonts w:hint="eastAsia" w:ascii="仿宋" w:hAnsi="仿宋" w:eastAsia="仿宋" w:cs="仿宋"/>
          <w:b/>
          <w:bCs/>
          <w:sz w:val="30"/>
          <w:szCs w:val="30"/>
          <w:lang w:val="en-US" w:eastAsia="zh-CN"/>
        </w:rPr>
      </w:pPr>
      <w:r>
        <w:rPr>
          <w:rFonts w:hint="eastAsia" w:ascii="仿宋" w:hAnsi="仿宋" w:eastAsia="仿宋" w:cs="仿宋"/>
          <w:sz w:val="30"/>
          <w:szCs w:val="30"/>
        </w:rPr>
        <w:t>为推进职教高考政策落地实施，</w:t>
      </w:r>
      <w:r>
        <w:rPr>
          <w:rFonts w:hint="eastAsia" w:ascii="仿宋" w:hAnsi="仿宋" w:eastAsia="仿宋" w:cs="仿宋"/>
          <w:sz w:val="30"/>
          <w:szCs w:val="30"/>
          <w:lang w:eastAsia="zh-CN"/>
        </w:rPr>
        <w:t>学校</w:t>
      </w:r>
      <w:r>
        <w:rPr>
          <w:rFonts w:hint="eastAsia" w:ascii="仿宋" w:hAnsi="仿宋" w:eastAsia="仿宋" w:cs="仿宋"/>
          <w:sz w:val="30"/>
          <w:szCs w:val="30"/>
        </w:rPr>
        <w:t>围绕分类招生考试大纲要求，完</w:t>
      </w:r>
      <w:r>
        <w:rPr>
          <w:rFonts w:hint="eastAsia" w:ascii="仿宋" w:hAnsi="仿宋" w:eastAsia="仿宋" w:cs="仿宋"/>
          <w:sz w:val="30"/>
          <w:szCs w:val="30"/>
          <w:lang w:eastAsia="zh-CN"/>
        </w:rPr>
        <w:t>善</w:t>
      </w:r>
      <w:r>
        <w:rPr>
          <w:rFonts w:hint="eastAsia" w:ascii="仿宋" w:hAnsi="仿宋" w:eastAsia="仿宋" w:cs="仿宋"/>
          <w:sz w:val="30"/>
          <w:szCs w:val="30"/>
        </w:rPr>
        <w:t>人才培养方案和实施性教学计划，加强公共基础课开设，增加教学时间，同时将试点的职业技能等级证书标准和人才培养目标进行对接，将人才培养方案中相关专业核心课程内容与X证书培训内容进行互通。一系列教学模式的改革措施，极大地推进了相关专业教学质量的提升。2023年我校共有1134名学生报名安徽省分类招生考试，其中142人参加普通高考。</w:t>
      </w:r>
    </w:p>
    <w:p>
      <w:pPr>
        <w:numPr>
          <w:ilvl w:val="0"/>
          <w:numId w:val="0"/>
        </w:numPr>
        <w:rPr>
          <w:rFonts w:hint="eastAsia" w:ascii="仿宋" w:hAnsi="仿宋" w:eastAsia="仿宋" w:cs="仿宋"/>
          <w:b/>
          <w:bCs/>
          <w:sz w:val="30"/>
          <w:szCs w:val="30"/>
          <w:lang w:val="en-US" w:eastAsia="zh-CN"/>
        </w:rPr>
      </w:pPr>
      <w:r>
        <w:rPr>
          <w:rFonts w:hint="default"/>
          <w:lang w:val="en-US" w:eastAsia="zh-CN"/>
        </w:rPr>
        <w:drawing>
          <wp:inline distT="0" distB="0" distL="114300" distR="114300">
            <wp:extent cx="5274310" cy="3533140"/>
            <wp:effectExtent l="0" t="0" r="2540" b="10160"/>
            <wp:docPr id="41" name="图片 41" descr="2019信息技术专家聘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019信息技术专家聘任"/>
                    <pic:cNvPicPr>
                      <a:picLocks noChangeAspect="1"/>
                    </pic:cNvPicPr>
                  </pic:nvPicPr>
                  <pic:blipFill>
                    <a:blip r:embed="rId14"/>
                    <a:stretch>
                      <a:fillRect/>
                    </a:stretch>
                  </pic:blipFill>
                  <pic:spPr>
                    <a:xfrm>
                      <a:off x="0" y="0"/>
                      <a:ext cx="5274310" cy="3533140"/>
                    </a:xfrm>
                    <a:prstGeom prst="rect">
                      <a:avLst/>
                    </a:prstGeom>
                  </pic:spPr>
                </pic:pic>
              </a:graphicData>
            </a:graphic>
          </wp:inline>
        </w:drawing>
      </w:r>
    </w:p>
    <w:p>
      <w:pPr>
        <w:jc w:val="center"/>
        <w:outlineLvl w:val="2"/>
        <w:rPr>
          <w:rFonts w:hint="default" w:ascii="仿宋" w:hAnsi="仿宋" w:eastAsia="仿宋" w:cs="仿宋"/>
          <w:b/>
          <w:bCs/>
          <w:sz w:val="24"/>
          <w:szCs w:val="24"/>
          <w:lang w:val="en-US" w:eastAsia="zh-CN"/>
        </w:rPr>
      </w:pPr>
      <w:bookmarkStart w:id="17" w:name="_Toc19476"/>
      <w:r>
        <w:rPr>
          <w:rFonts w:hint="eastAsia" w:ascii="仿宋" w:hAnsi="仿宋" w:eastAsia="仿宋" w:cs="仿宋"/>
          <w:b/>
          <w:bCs/>
          <w:sz w:val="24"/>
          <w:szCs w:val="24"/>
          <w:lang w:val="en-US" w:eastAsia="zh-CN"/>
        </w:rPr>
        <w:t>信息技术专业建设委员会指导专业建设</w:t>
      </w:r>
      <w:bookmarkEnd w:id="17"/>
    </w:p>
    <w:p>
      <w:pPr>
        <w:numPr>
          <w:ilvl w:val="0"/>
          <w:numId w:val="0"/>
        </w:numPr>
        <w:ind w:firstLine="602" w:firstLineChars="200"/>
        <w:outlineLvl w:val="1"/>
        <w:rPr>
          <w:rFonts w:hint="eastAsia" w:ascii="仿宋" w:hAnsi="仿宋" w:eastAsia="仿宋" w:cs="仿宋"/>
          <w:b/>
          <w:bCs/>
          <w:sz w:val="30"/>
          <w:szCs w:val="30"/>
          <w:lang w:val="en-US" w:eastAsia="zh-CN"/>
        </w:rPr>
      </w:pPr>
      <w:bookmarkStart w:id="18" w:name="_Toc7483"/>
      <w:r>
        <w:rPr>
          <w:rFonts w:hint="eastAsia" w:ascii="仿宋" w:hAnsi="仿宋" w:eastAsia="仿宋" w:cs="仿宋"/>
          <w:b/>
          <w:bCs/>
          <w:sz w:val="30"/>
          <w:szCs w:val="30"/>
          <w:lang w:val="en-US" w:eastAsia="zh-CN"/>
        </w:rPr>
        <w:t>3.2课程建设</w:t>
      </w:r>
      <w:bookmarkEnd w:id="18"/>
    </w:p>
    <w:p>
      <w:pPr>
        <w:keepNext w:val="0"/>
        <w:keepLines w:val="0"/>
        <w:pageBreakBefore w:val="0"/>
        <w:widowControl/>
        <w:shd w:val="clear" w:color="auto" w:fill="FFFFFF"/>
        <w:kinsoku/>
        <w:wordWrap/>
        <w:overflowPunct/>
        <w:topLinePunct w:val="0"/>
        <w:bidi w:val="0"/>
        <w:spacing w:line="360" w:lineRule="auto"/>
        <w:ind w:right="0" w:firstLine="645"/>
        <w:textAlignment w:val="auto"/>
        <w:rPr>
          <w:rFonts w:hint="eastAsia" w:ascii="仿宋" w:hAnsi="仿宋" w:eastAsia="仿宋" w:cs="仿宋"/>
          <w:sz w:val="30"/>
          <w:szCs w:val="30"/>
        </w:rPr>
      </w:pPr>
      <w:r>
        <w:rPr>
          <w:rFonts w:hint="eastAsia" w:ascii="仿宋" w:hAnsi="仿宋" w:eastAsia="仿宋" w:cs="仿宋"/>
          <w:sz w:val="30"/>
          <w:szCs w:val="30"/>
        </w:rPr>
        <w:t>学校重视课程体系建设，依据教育部颁布的专业教学标准，及时修订完善专业人才培养方案；</w:t>
      </w:r>
      <w:r>
        <w:rPr>
          <w:rFonts w:hint="eastAsia" w:ascii="仿宋" w:hAnsi="仿宋" w:eastAsia="仿宋" w:cs="仿宋"/>
          <w:color w:val="000000"/>
          <w:sz w:val="30"/>
          <w:szCs w:val="30"/>
        </w:rPr>
        <w:t>认真挖掘专业课程中的思政元素，积极开展“课程思政”教学教研活动，</w:t>
      </w:r>
      <w:r>
        <w:rPr>
          <w:rFonts w:hint="eastAsia" w:ascii="仿宋" w:hAnsi="仿宋" w:eastAsia="仿宋" w:cs="仿宋"/>
          <w:sz w:val="30"/>
          <w:szCs w:val="30"/>
        </w:rPr>
        <w:t>形成了符合职业教育规律的专业课程体系；教材选用和开发管理办法规范，建立一批校本精品课程，主干专业课程均有不少于5门以上的精品课程；引进超星学习通平台，精品课程教学资源在线开放，网上教学有序进行。</w:t>
      </w:r>
    </w:p>
    <w:p>
      <w:pPr>
        <w:pStyle w:val="3"/>
        <w:jc w:val="center"/>
        <w:outlineLvl w:val="2"/>
        <w:rPr>
          <w:rFonts w:hint="eastAsia"/>
          <w:sz w:val="28"/>
          <w:szCs w:val="28"/>
        </w:rPr>
      </w:pPr>
      <w:bookmarkStart w:id="19" w:name="_Toc30870"/>
      <w:r>
        <w:rPr>
          <w:rFonts w:hint="eastAsia" w:ascii="仿宋" w:hAnsi="仿宋" w:eastAsia="仿宋" w:cs="仿宋"/>
          <w:b/>
          <w:bCs w:val="0"/>
          <w:sz w:val="28"/>
          <w:szCs w:val="28"/>
          <w:lang w:eastAsia="zh-CN"/>
        </w:rPr>
        <w:t>表</w:t>
      </w:r>
      <w:r>
        <w:rPr>
          <w:rFonts w:hint="eastAsia" w:ascii="仿宋" w:hAnsi="仿宋" w:eastAsia="仿宋" w:cs="仿宋"/>
          <w:b/>
          <w:bCs w:val="0"/>
          <w:sz w:val="28"/>
          <w:szCs w:val="28"/>
          <w:lang w:val="en-US" w:eastAsia="zh-CN"/>
        </w:rPr>
        <w:t xml:space="preserve">5 </w:t>
      </w:r>
      <w:r>
        <w:rPr>
          <w:rFonts w:hint="eastAsia" w:ascii="仿宋" w:hAnsi="仿宋" w:eastAsia="仿宋" w:cs="仿宋"/>
          <w:b/>
          <w:bCs w:val="0"/>
          <w:sz w:val="28"/>
          <w:szCs w:val="28"/>
          <w:lang w:eastAsia="zh-CN"/>
        </w:rPr>
        <w:t>主干专业</w:t>
      </w:r>
      <w:r>
        <w:rPr>
          <w:rFonts w:hint="eastAsia" w:ascii="仿宋" w:hAnsi="仿宋" w:eastAsia="仿宋" w:cs="仿宋"/>
          <w:b/>
          <w:bCs w:val="0"/>
          <w:i w:val="0"/>
          <w:iCs w:val="0"/>
          <w:caps w:val="0"/>
          <w:color w:val="auto"/>
          <w:spacing w:val="0"/>
          <w:sz w:val="28"/>
          <w:szCs w:val="28"/>
          <w:shd w:val="clear" w:fill="FFFFFF"/>
          <w:lang w:val="en-US" w:eastAsia="zh-CN"/>
        </w:rPr>
        <w:t>会计电算化专业课程资源</w:t>
      </w:r>
      <w:bookmarkEnd w:id="19"/>
    </w:p>
    <w:tbl>
      <w:tblPr>
        <w:tblStyle w:val="17"/>
        <w:tblW w:w="8522" w:type="dxa"/>
        <w:jc w:val="center"/>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Layout w:type="fixed"/>
        <w:tblCellMar>
          <w:top w:w="15" w:type="dxa"/>
          <w:left w:w="15" w:type="dxa"/>
          <w:bottom w:w="15" w:type="dxa"/>
          <w:right w:w="15" w:type="dxa"/>
        </w:tblCellMar>
      </w:tblPr>
      <w:tblGrid>
        <w:gridCol w:w="822"/>
        <w:gridCol w:w="1296"/>
        <w:gridCol w:w="6404"/>
      </w:tblGrid>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3" w:hRule="atLeast"/>
          <w:jc w:val="center"/>
        </w:trPr>
        <w:tc>
          <w:tcPr>
            <w:tcW w:w="82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
                <w:color w:val="auto"/>
                <w:sz w:val="21"/>
                <w:szCs w:val="21"/>
              </w:rPr>
            </w:pPr>
            <w:r>
              <w:rPr>
                <w:rFonts w:hint="eastAsia" w:ascii="仿宋" w:hAnsi="仿宋" w:eastAsia="仿宋" w:cs="仿宋"/>
                <w:b/>
                <w:color w:val="auto"/>
                <w:kern w:val="0"/>
                <w:sz w:val="21"/>
                <w:szCs w:val="21"/>
              </w:rPr>
              <w:t>专业核心课程</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基础会计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"http://111.39.218.50:85/4-4-75.html"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http://111.39.218.50:85/4-4-75.html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初级会计实务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"http://111.39.218.50:85/4-4-76.html"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http://111.39.218.50:85/4-4-76.html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会计电算化</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"http://111.39.218.50:85/4-4-77.html"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http://111.39.218.50:85/4-4-77.html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财经法规与会计职业道德</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"http://111.39.218.50:85/4-4-50.html"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http://111.39.218.50:85/4-4-50.html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统计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"http://111.39.218.50:85/4-4-125.html"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http://111.39.218.50:85/4-4-125.html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经济法</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http://111.39.218.50:85/4-4-127.html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财务管理</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http://111.39.218.50:85/4-4-127.html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会计操作技能</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"http://111.39.218.50:85/4-4-128.html"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http://111.39.218.50:85/4-4-128.html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
                <w:color w:val="auto"/>
                <w:sz w:val="21"/>
                <w:szCs w:val="21"/>
              </w:rPr>
            </w:pPr>
            <w:r>
              <w:rPr>
                <w:rFonts w:hint="eastAsia" w:ascii="仿宋" w:hAnsi="仿宋" w:eastAsia="仿宋" w:cs="仿宋"/>
                <w:b/>
                <w:color w:val="auto"/>
                <w:kern w:val="0"/>
                <w:sz w:val="21"/>
                <w:szCs w:val="21"/>
              </w:rPr>
              <w:t>专业拓展课</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礼仪规范教程</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"http://111.39.218.50:85/4-4-47.html"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http://111.39.218.50:85/4-4-47.html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市场营销基础</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"http://111.39.218.50:85/4-4-131.html"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http://111.39.218.50:85/4-4-131.html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经济政治与社会</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"http://111.39.218.50:85/4-4-130.html"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http://111.39.218.50:85/4-4-130.html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数据库</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"http://111.39.218.50:85/4-4-57.html"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http://111.39.218.50:85/4-4-57.html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b/>
                <w:color w:val="auto"/>
                <w:sz w:val="21"/>
                <w:szCs w:val="21"/>
              </w:rPr>
            </w:pPr>
            <w:r>
              <w:rPr>
                <w:rFonts w:hint="eastAsia" w:ascii="仿宋" w:hAnsi="仿宋" w:eastAsia="仿宋" w:cs="仿宋"/>
                <w:b/>
                <w:color w:val="auto"/>
                <w:kern w:val="0"/>
                <w:sz w:val="21"/>
                <w:szCs w:val="21"/>
              </w:rPr>
              <w:t>专业方向课</w:t>
            </w: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财务会计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"http://111.39.218.50:85/4-4-129.html"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http://111.39.218.50:85/4-4-129.html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成本会计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"http://111.39.218.50:85/4-4-84.html"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http://111.39.218.50:85/4-4-84.html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企业管理基础</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"http://111.39.218.50:85/4-4-132.html"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http://111.39.218.50:85/4-4-132.html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出纳会计实务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"http://111.39.218.50:85/4-4-133.html"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http://111.39.218.50:85/4-4-133.html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收银实务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"http://111.39.218.50:85/4-4-85.html"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http://111.39.218.50:85/4-4-85.html</w:t>
            </w:r>
            <w:r>
              <w:rPr>
                <w:rFonts w:hint="eastAsia" w:ascii="仿宋" w:hAnsi="仿宋" w:eastAsia="仿宋" w:cs="仿宋"/>
                <w:color w:val="auto"/>
                <w:sz w:val="21"/>
                <w:szCs w:val="21"/>
                <w:u w:val="single"/>
              </w:rPr>
              <w:fldChar w:fldCharType="end"/>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15" w:type="dxa"/>
            <w:left w:w="15" w:type="dxa"/>
            <w:bottom w:w="15" w:type="dxa"/>
            <w:right w:w="15" w:type="dxa"/>
          </w:tblCellMar>
        </w:tblPrEx>
        <w:trPr>
          <w:trHeight w:val="285" w:hRule="atLeast"/>
          <w:jc w:val="center"/>
        </w:trPr>
        <w:tc>
          <w:tcPr>
            <w:tcW w:w="822"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b/>
                <w:color w:val="auto"/>
                <w:sz w:val="21"/>
                <w:szCs w:val="21"/>
              </w:rPr>
            </w:pPr>
          </w:p>
        </w:tc>
        <w:tc>
          <w:tcPr>
            <w:tcW w:w="1296"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管理会计</w:t>
            </w:r>
          </w:p>
        </w:tc>
        <w:tc>
          <w:tcPr>
            <w:tcW w:w="640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1"/>
                <w:szCs w:val="21"/>
                <w:u w:val="single"/>
              </w:rPr>
            </w:pPr>
            <w:r>
              <w:rPr>
                <w:rFonts w:hint="eastAsia" w:ascii="仿宋" w:hAnsi="仿宋" w:eastAsia="仿宋" w:cs="仿宋"/>
                <w:color w:val="auto"/>
                <w:sz w:val="21"/>
                <w:szCs w:val="21"/>
              </w:rPr>
              <w:fldChar w:fldCharType="begin"/>
            </w:r>
            <w:r>
              <w:rPr>
                <w:rFonts w:hint="eastAsia" w:ascii="仿宋" w:hAnsi="仿宋" w:eastAsia="仿宋" w:cs="仿宋"/>
                <w:color w:val="auto"/>
                <w:sz w:val="21"/>
                <w:szCs w:val="21"/>
              </w:rPr>
              <w:instrText xml:space="preserve"> HYPERLINK "http://111.39.218.50:85/4-4-127.html" </w:instrText>
            </w:r>
            <w:r>
              <w:rPr>
                <w:rFonts w:hint="eastAsia" w:ascii="仿宋" w:hAnsi="仿宋" w:eastAsia="仿宋" w:cs="仿宋"/>
                <w:color w:val="auto"/>
                <w:sz w:val="21"/>
                <w:szCs w:val="21"/>
              </w:rPr>
              <w:fldChar w:fldCharType="separate"/>
            </w:r>
            <w:r>
              <w:rPr>
                <w:rFonts w:hint="eastAsia" w:ascii="仿宋" w:hAnsi="仿宋" w:eastAsia="仿宋" w:cs="仿宋"/>
                <w:color w:val="auto"/>
                <w:sz w:val="21"/>
                <w:szCs w:val="21"/>
                <w:u w:val="single"/>
              </w:rPr>
              <w:t>http://111.39.218.50:85/4-4-127.html</w:t>
            </w:r>
            <w:r>
              <w:rPr>
                <w:rFonts w:hint="eastAsia" w:ascii="仿宋" w:hAnsi="仿宋" w:eastAsia="仿宋" w:cs="仿宋"/>
                <w:color w:val="auto"/>
                <w:sz w:val="21"/>
                <w:szCs w:val="21"/>
                <w:u w:val="single"/>
              </w:rPr>
              <w:fldChar w:fldCharType="end"/>
            </w:r>
          </w:p>
        </w:tc>
      </w:tr>
    </w:tbl>
    <w:p>
      <w:pPr>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drawing>
          <wp:inline distT="0" distB="0" distL="114300" distR="114300">
            <wp:extent cx="5266690" cy="3880485"/>
            <wp:effectExtent l="0" t="0" r="10160" b="5715"/>
            <wp:docPr id="47" name="图片 47" descr="2020 财经商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2020 财经商贸"/>
                    <pic:cNvPicPr>
                      <a:picLocks noChangeAspect="1"/>
                    </pic:cNvPicPr>
                  </pic:nvPicPr>
                  <pic:blipFill>
                    <a:blip r:embed="rId15"/>
                    <a:stretch>
                      <a:fillRect/>
                    </a:stretch>
                  </pic:blipFill>
                  <pic:spPr>
                    <a:xfrm>
                      <a:off x="0" y="0"/>
                      <a:ext cx="5266690" cy="3880485"/>
                    </a:xfrm>
                    <a:prstGeom prst="rect">
                      <a:avLst/>
                    </a:prstGeom>
                  </pic:spPr>
                </pic:pic>
              </a:graphicData>
            </a:graphic>
          </wp:inline>
        </w:drawing>
      </w:r>
    </w:p>
    <w:p>
      <w:pPr>
        <w:jc w:val="center"/>
        <w:rPr>
          <w:rFonts w:hint="eastAsia" w:ascii="仿宋" w:hAnsi="仿宋" w:eastAsia="仿宋" w:cs="仿宋"/>
          <w:b/>
          <w:bCs/>
          <w:sz w:val="24"/>
          <w:szCs w:val="24"/>
          <w:lang w:val="en-US" w:eastAsia="zh-CN"/>
        </w:rPr>
      </w:pPr>
      <w:r>
        <w:rPr>
          <w:rFonts w:hint="eastAsia" w:ascii="仿宋_GB2312" w:hAnsi="仿宋_GB2312" w:eastAsia="仿宋_GB2312" w:cs="仿宋_GB2312"/>
          <w:b/>
          <w:bCs/>
          <w:sz w:val="24"/>
          <w:szCs w:val="24"/>
          <w:lang w:eastAsia="zh-CN"/>
        </w:rPr>
        <w:t>会计专业人才培养模式</w:t>
      </w:r>
      <w:r>
        <w:rPr>
          <w:rFonts w:hint="eastAsia" w:ascii="仿宋_GB2312" w:hAnsi="仿宋_GB2312" w:eastAsia="仿宋_GB2312" w:cs="仿宋_GB2312"/>
          <w:b/>
          <w:bCs/>
          <w:sz w:val="24"/>
          <w:szCs w:val="24"/>
          <w:lang w:val="en-US" w:eastAsia="zh-CN"/>
        </w:rPr>
        <w:t>及课程体系改革</w:t>
      </w:r>
      <w:r>
        <w:rPr>
          <w:rFonts w:hint="eastAsia" w:ascii="仿宋_GB2312" w:hAnsi="仿宋_GB2312" w:eastAsia="仿宋_GB2312" w:cs="仿宋_GB2312"/>
          <w:b/>
          <w:bCs/>
          <w:sz w:val="24"/>
          <w:szCs w:val="24"/>
          <w:lang w:eastAsia="zh-CN"/>
        </w:rPr>
        <w:t>论证会</w:t>
      </w:r>
    </w:p>
    <w:p>
      <w:pPr>
        <w:ind w:firstLine="602" w:firstLineChars="200"/>
        <w:outlineLvl w:val="1"/>
        <w:rPr>
          <w:rFonts w:hint="eastAsia" w:ascii="仿宋" w:hAnsi="仿宋" w:eastAsia="仿宋" w:cs="仿宋"/>
          <w:b/>
          <w:bCs/>
          <w:sz w:val="30"/>
          <w:szCs w:val="30"/>
          <w:lang w:val="en-US" w:eastAsia="zh-CN"/>
        </w:rPr>
      </w:pPr>
      <w:bookmarkStart w:id="20" w:name="_Toc3521"/>
      <w:r>
        <w:rPr>
          <w:rFonts w:hint="eastAsia" w:ascii="仿宋" w:hAnsi="仿宋" w:eastAsia="仿宋" w:cs="仿宋"/>
          <w:b/>
          <w:bCs/>
          <w:sz w:val="30"/>
          <w:szCs w:val="30"/>
          <w:lang w:val="en-US" w:eastAsia="zh-CN"/>
        </w:rPr>
        <w:t>3.3三教改革</w:t>
      </w:r>
      <w:bookmarkEnd w:id="20"/>
    </w:p>
    <w:p>
      <w:pPr>
        <w:ind w:firstLine="600" w:firstLineChars="200"/>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（1）“一体化教学改革”。学校积极推进“一体化教学”教学模式改革，</w:t>
      </w:r>
      <w:r>
        <w:rPr>
          <w:rFonts w:hint="eastAsia" w:ascii="仿宋" w:hAnsi="仿宋" w:eastAsia="仿宋" w:cs="仿宋"/>
          <w:sz w:val="30"/>
          <w:szCs w:val="30"/>
        </w:rPr>
        <w:t>以“教中做、学中做，一体化实施”为教学方法和教学手段，集知识、技能和态度于一体</w:t>
      </w:r>
      <w:r>
        <w:rPr>
          <w:rFonts w:hint="eastAsia" w:ascii="仿宋" w:hAnsi="仿宋" w:eastAsia="仿宋" w:cs="仿宋"/>
          <w:sz w:val="30"/>
          <w:szCs w:val="30"/>
          <w:lang w:eastAsia="zh-CN"/>
        </w:rPr>
        <w:t>。近年</w:t>
      </w:r>
      <w:r>
        <w:rPr>
          <w:rFonts w:hint="eastAsia" w:ascii="仿宋" w:hAnsi="仿宋" w:eastAsia="仿宋" w:cs="仿宋"/>
          <w:sz w:val="30"/>
          <w:szCs w:val="30"/>
          <w:lang w:val="en-US" w:eastAsia="zh-CN"/>
        </w:rPr>
        <w:t>来，学校在课程、教学场所、师资、教材等方面取得了显著成果。体现在：“一体化教师”：</w:t>
      </w:r>
      <w:r>
        <w:rPr>
          <w:rFonts w:hint="eastAsia" w:ascii="仿宋" w:hAnsi="仿宋" w:eastAsia="仿宋" w:cs="仿宋"/>
          <w:sz w:val="30"/>
          <w:szCs w:val="30"/>
        </w:rPr>
        <w:t>建立</w:t>
      </w:r>
      <w:r>
        <w:rPr>
          <w:rFonts w:hint="eastAsia" w:ascii="仿宋" w:hAnsi="仿宋" w:eastAsia="仿宋" w:cs="仿宋"/>
          <w:sz w:val="30"/>
          <w:szCs w:val="30"/>
          <w:lang w:val="en-US" w:eastAsia="zh-CN"/>
        </w:rPr>
        <w:t>了</w:t>
      </w:r>
      <w:r>
        <w:rPr>
          <w:rFonts w:hint="eastAsia" w:ascii="仿宋" w:hAnsi="仿宋" w:eastAsia="仿宋" w:cs="仿宋"/>
          <w:sz w:val="30"/>
          <w:szCs w:val="30"/>
        </w:rPr>
        <w:t>一支“双师”结构的</w:t>
      </w:r>
      <w:r>
        <w:rPr>
          <w:rFonts w:hint="eastAsia" w:ascii="仿宋" w:hAnsi="仿宋" w:eastAsia="仿宋" w:cs="仿宋"/>
          <w:sz w:val="30"/>
          <w:szCs w:val="30"/>
          <w:lang w:val="en-US" w:eastAsia="zh-CN"/>
        </w:rPr>
        <w:t>合理</w:t>
      </w:r>
      <w:r>
        <w:rPr>
          <w:rFonts w:hint="eastAsia" w:ascii="仿宋" w:hAnsi="仿宋" w:eastAsia="仿宋" w:cs="仿宋"/>
          <w:sz w:val="30"/>
          <w:szCs w:val="30"/>
        </w:rPr>
        <w:t>教师队伍，</w:t>
      </w:r>
      <w:r>
        <w:rPr>
          <w:rFonts w:hint="eastAsia" w:ascii="仿宋" w:hAnsi="仿宋" w:eastAsia="仿宋" w:cs="仿宋"/>
          <w:sz w:val="30"/>
          <w:szCs w:val="30"/>
          <w:lang w:val="en-US" w:eastAsia="zh-CN"/>
        </w:rPr>
        <w:t>成</w:t>
      </w:r>
      <w:r>
        <w:rPr>
          <w:rFonts w:hint="eastAsia" w:ascii="仿宋" w:hAnsi="仿宋" w:eastAsia="仿宋" w:cs="仿宋"/>
          <w:sz w:val="30"/>
          <w:szCs w:val="30"/>
          <w:lang w:eastAsia="zh-CN"/>
        </w:rPr>
        <w:t>为</w:t>
      </w:r>
      <w:r>
        <w:rPr>
          <w:rFonts w:hint="eastAsia" w:ascii="仿宋" w:hAnsi="仿宋" w:eastAsia="仿宋" w:cs="仿宋"/>
          <w:sz w:val="30"/>
          <w:szCs w:val="30"/>
        </w:rPr>
        <w:t>开展一体化的重要保证</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一体化教材”：</w:t>
      </w:r>
      <w:r>
        <w:rPr>
          <w:rFonts w:hint="eastAsia" w:ascii="仿宋" w:hAnsi="仿宋" w:eastAsia="仿宋" w:cs="仿宋"/>
          <w:sz w:val="30"/>
          <w:szCs w:val="30"/>
          <w:lang w:eastAsia="zh-CN"/>
        </w:rPr>
        <w:t>专业核心课程</w:t>
      </w:r>
      <w:r>
        <w:rPr>
          <w:rFonts w:hint="eastAsia" w:ascii="仿宋" w:hAnsi="仿宋" w:eastAsia="仿宋" w:cs="仿宋"/>
          <w:sz w:val="30"/>
          <w:szCs w:val="30"/>
          <w:lang w:val="en-US" w:eastAsia="zh-CN"/>
        </w:rPr>
        <w:t>完成了14本</w:t>
      </w:r>
      <w:r>
        <w:rPr>
          <w:rFonts w:hint="eastAsia" w:ascii="仿宋" w:hAnsi="仿宋" w:eastAsia="仿宋" w:cs="仿宋"/>
          <w:sz w:val="30"/>
          <w:szCs w:val="30"/>
          <w:lang w:eastAsia="zh-CN"/>
        </w:rPr>
        <w:t>“一体化”教材的编写；“</w:t>
      </w:r>
      <w:r>
        <w:rPr>
          <w:rFonts w:hint="eastAsia" w:ascii="仿宋" w:hAnsi="仿宋" w:eastAsia="仿宋" w:cs="仿宋"/>
          <w:sz w:val="30"/>
          <w:szCs w:val="30"/>
          <w:lang w:val="en-US" w:eastAsia="zh-CN"/>
        </w:rPr>
        <w:t>一体化实训</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学校在机械、电工、电子、汽车、会计等专业的实训教学中有目的组织一体化实训教学，可以有效地将理论知识、学生实践能力培养和企业的工作环境以及各自工作职责结合起来；“一体化资源”：学校完成“一体化教学资源”专业课程合计53门。</w:t>
      </w:r>
    </w:p>
    <w:p>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2）教材建设。学校成立有教材建设领导小组，教材的选用、审查、使用有严格的规章制度。依据学校的校本教材建设规划、管理办法，各专业按照时间节点完成校本教材的编写，目前主干专业已经完成25门校本教材的编写，校本教材的编写提高了专业教师的教学能力，完善了校本教材建设质量，提升了学生的学习水平。</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after="156" w:afterLines="50"/>
        <w:ind w:firstLine="562" w:firstLineChars="200"/>
        <w:jc w:val="center"/>
        <w:outlineLvl w:val="0"/>
        <w:rPr>
          <w:rFonts w:hint="eastAsia" w:ascii="仿宋" w:hAnsi="仿宋" w:eastAsia="仿宋" w:cs="仿宋"/>
          <w:b/>
          <w:sz w:val="28"/>
          <w:szCs w:val="28"/>
          <w:lang w:val="en-US" w:eastAsia="zh-CN"/>
        </w:rPr>
      </w:pPr>
      <w:bookmarkStart w:id="21" w:name="_Toc23932"/>
      <w:r>
        <w:rPr>
          <w:rFonts w:hint="eastAsia" w:ascii="仿宋" w:hAnsi="仿宋" w:eastAsia="仿宋" w:cs="仿宋"/>
          <w:b/>
          <w:sz w:val="28"/>
          <w:szCs w:val="28"/>
          <w:lang w:val="en-US" w:eastAsia="zh-CN"/>
        </w:rPr>
        <w:t>表6 学校主干专业校本教材汇总表</w:t>
      </w:r>
      <w:bookmarkEnd w:id="21"/>
    </w:p>
    <w:tbl>
      <w:tblPr>
        <w:tblStyle w:val="18"/>
        <w:tblW w:w="82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4530"/>
        <w:gridCol w:w="1920"/>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序号</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教材名称</w:t>
            </w:r>
          </w:p>
        </w:tc>
        <w:tc>
          <w:tcPr>
            <w:tcW w:w="192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所属专业</w:t>
            </w: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《Photoshop平面设计与实训》</w:t>
            </w:r>
          </w:p>
        </w:tc>
        <w:tc>
          <w:tcPr>
            <w:tcW w:w="1920" w:type="dxa"/>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lang w:eastAsia="zh-CN"/>
              </w:rPr>
              <w:t>计算机应用</w:t>
            </w: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2</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《广告Flash动画设计与制作》</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3</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《计算机网络技术及应用》</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4</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《静态网页设计与制作》</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5</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rPr>
              <w:t>《静态网页设计与制作实训指导书》</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6</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w:t>
            </w:r>
            <w:r>
              <w:rPr>
                <w:rFonts w:hint="eastAsia" w:ascii="仿宋" w:hAnsi="仿宋" w:eastAsia="仿宋" w:cs="仿宋"/>
                <w:sz w:val="21"/>
                <w:szCs w:val="21"/>
                <w:lang w:val="en-US"/>
              </w:rPr>
              <w:t>汽车底盘实训指导书</w:t>
            </w:r>
            <w:r>
              <w:rPr>
                <w:rFonts w:hint="eastAsia" w:ascii="仿宋" w:hAnsi="仿宋" w:eastAsia="仿宋" w:cs="仿宋"/>
                <w:sz w:val="21"/>
                <w:szCs w:val="21"/>
                <w:lang w:val="en-US" w:eastAsia="zh-CN"/>
              </w:rPr>
              <w:t>》</w:t>
            </w:r>
          </w:p>
        </w:tc>
        <w:tc>
          <w:tcPr>
            <w:tcW w:w="1920" w:type="dxa"/>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汽车运用与维修</w:t>
            </w: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7</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w:t>
            </w:r>
            <w:r>
              <w:rPr>
                <w:rFonts w:hint="eastAsia" w:ascii="仿宋" w:hAnsi="仿宋" w:eastAsia="仿宋" w:cs="仿宋"/>
                <w:sz w:val="21"/>
                <w:szCs w:val="21"/>
                <w:lang w:val="en-US"/>
              </w:rPr>
              <w:t>汽车底盘实训</w:t>
            </w:r>
            <w:r>
              <w:rPr>
                <w:rFonts w:hint="eastAsia" w:ascii="仿宋" w:hAnsi="仿宋" w:eastAsia="仿宋" w:cs="仿宋"/>
                <w:sz w:val="21"/>
                <w:szCs w:val="21"/>
                <w:lang w:val="en-US" w:eastAsia="zh-CN"/>
              </w:rPr>
              <w:t>教材》</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8</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《汽车电子电器实训教材》</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9</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《汽车发动机实训指导书》</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10</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rPr>
            </w:pPr>
            <w:r>
              <w:rPr>
                <w:rFonts w:hint="eastAsia" w:ascii="仿宋" w:hAnsi="仿宋" w:eastAsia="仿宋" w:cs="仿宋"/>
                <w:sz w:val="21"/>
                <w:szCs w:val="21"/>
                <w:lang w:val="en-US" w:eastAsia="zh-CN"/>
              </w:rPr>
              <w:t>《汽车发动机实训教材》</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11</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《数控机床编程与操作》</w:t>
            </w:r>
          </w:p>
        </w:tc>
        <w:tc>
          <w:tcPr>
            <w:tcW w:w="1920" w:type="dxa"/>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数控技术应用</w:t>
            </w: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12</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《车工工艺与技能训练》</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13</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《钳工》</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14</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《数控铣床加工实训指导书》</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15</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《机械制图》</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16</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《财务会计实训教程》</w:t>
            </w:r>
          </w:p>
        </w:tc>
        <w:tc>
          <w:tcPr>
            <w:tcW w:w="1920" w:type="dxa"/>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会计电算化</w:t>
            </w: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17</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《成本会计实训教程》</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18</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《出纳会计实务实训教程》</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19</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《会计电算化》</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vertAlign w:val="baseline"/>
                <w:lang w:val="en-US" w:eastAsia="zh-CN"/>
              </w:rPr>
              <w:t>20</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《会计电算化实训教程》</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21</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《网页制作》</w:t>
            </w:r>
          </w:p>
        </w:tc>
        <w:tc>
          <w:tcPr>
            <w:tcW w:w="1920" w:type="dxa"/>
            <w:vMerge w:val="restart"/>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r>
              <w:rPr>
                <w:rFonts w:hint="eastAsia" w:ascii="仿宋" w:hAnsi="仿宋" w:eastAsia="仿宋" w:cs="仿宋"/>
                <w:sz w:val="21"/>
                <w:szCs w:val="21"/>
                <w:lang w:val="en-US" w:eastAsia="zh-CN"/>
              </w:rPr>
              <w:t>电子商务</w:t>
            </w: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22</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《基础会计》</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23</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《网店运营与管理》</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24</w:t>
            </w:r>
          </w:p>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《电商运营与管理》</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90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25</w:t>
            </w:r>
          </w:p>
        </w:tc>
        <w:tc>
          <w:tcPr>
            <w:tcW w:w="4530"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《电子商务》</w:t>
            </w:r>
          </w:p>
        </w:tc>
        <w:tc>
          <w:tcPr>
            <w:tcW w:w="1920" w:type="dxa"/>
            <w:vMerge w:val="continue"/>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c>
          <w:tcPr>
            <w:tcW w:w="912" w:type="dxa"/>
            <w:noWrap w:val="0"/>
            <w:vAlign w:val="center"/>
          </w:tcPr>
          <w:p>
            <w:pPr>
              <w:pStyle w:val="16"/>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jc w:val="center"/>
              <w:textAlignment w:val="auto"/>
              <w:rPr>
                <w:rFonts w:hint="eastAsia" w:ascii="仿宋" w:hAnsi="仿宋" w:eastAsia="仿宋" w:cs="仿宋"/>
                <w:sz w:val="21"/>
                <w:szCs w:val="21"/>
                <w:vertAlign w:val="baseline"/>
                <w:lang w:val="en-US"/>
              </w:rPr>
            </w:pPr>
          </w:p>
        </w:tc>
      </w:tr>
    </w:tbl>
    <w:p>
      <w:pPr>
        <w:pStyle w:val="28"/>
        <w:keepNext w:val="0"/>
        <w:keepLines w:val="0"/>
        <w:pageBreakBefore w:val="0"/>
        <w:tabs>
          <w:tab w:val="left" w:pos="1364"/>
        </w:tabs>
        <w:kinsoku/>
        <w:wordWrap/>
        <w:overflowPunct/>
        <w:topLinePunct w:val="0"/>
        <w:bidi w:val="0"/>
        <w:spacing w:before="35" w:line="360" w:lineRule="auto"/>
        <w:ind w:right="0" w:firstLine="640"/>
        <w:textAlignment w:val="auto"/>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（3）教师培养。</w:t>
      </w:r>
      <w:r>
        <w:rPr>
          <w:rFonts w:hint="eastAsia" w:ascii="仿宋" w:hAnsi="仿宋" w:eastAsia="仿宋" w:cs="仿宋"/>
          <w:sz w:val="30"/>
          <w:szCs w:val="30"/>
        </w:rPr>
        <w:t>学校重视师资队伍建设，基本建成一支专兼结合、结构合理、素质优良的教师队伍。现有专任教师</w:t>
      </w:r>
      <w:r>
        <w:rPr>
          <w:rFonts w:hint="eastAsia" w:ascii="仿宋" w:hAnsi="仿宋" w:eastAsia="仿宋" w:cs="仿宋"/>
          <w:sz w:val="30"/>
          <w:szCs w:val="30"/>
          <w:lang w:val="en-US" w:eastAsia="zh-CN"/>
        </w:rPr>
        <w:t>296</w:t>
      </w:r>
      <w:r>
        <w:rPr>
          <w:rFonts w:hint="eastAsia" w:ascii="仿宋" w:hAnsi="仿宋" w:eastAsia="仿宋" w:cs="仿宋"/>
          <w:sz w:val="30"/>
          <w:szCs w:val="30"/>
        </w:rPr>
        <w:t>人，专</w:t>
      </w:r>
      <w:r>
        <w:rPr>
          <w:rFonts w:hint="eastAsia" w:ascii="仿宋" w:hAnsi="仿宋" w:eastAsia="仿宋" w:cs="仿宋"/>
          <w:sz w:val="30"/>
          <w:szCs w:val="30"/>
          <w:lang w:eastAsia="zh-CN"/>
        </w:rPr>
        <w:t>任</w:t>
      </w:r>
      <w:r>
        <w:rPr>
          <w:rFonts w:hint="eastAsia" w:ascii="仿宋" w:hAnsi="仿宋" w:eastAsia="仿宋" w:cs="仿宋"/>
          <w:sz w:val="30"/>
          <w:szCs w:val="30"/>
        </w:rPr>
        <w:t>教师</w:t>
      </w:r>
      <w:r>
        <w:rPr>
          <w:rFonts w:hint="eastAsia" w:ascii="仿宋" w:hAnsi="仿宋" w:eastAsia="仿宋" w:cs="仿宋"/>
          <w:sz w:val="30"/>
          <w:szCs w:val="30"/>
          <w:lang w:val="en-US" w:eastAsia="zh-CN"/>
        </w:rPr>
        <w:t>265</w:t>
      </w:r>
      <w:r>
        <w:rPr>
          <w:rFonts w:hint="eastAsia" w:ascii="仿宋" w:hAnsi="仿宋" w:eastAsia="仿宋" w:cs="仿宋"/>
          <w:sz w:val="30"/>
          <w:szCs w:val="30"/>
        </w:rPr>
        <w:t>人，高级职称教师</w:t>
      </w:r>
      <w:r>
        <w:rPr>
          <w:rFonts w:hint="eastAsia" w:ascii="仿宋" w:hAnsi="仿宋" w:eastAsia="仿宋" w:cs="仿宋"/>
          <w:sz w:val="30"/>
          <w:szCs w:val="30"/>
          <w:lang w:val="en-US" w:eastAsia="zh-CN"/>
        </w:rPr>
        <w:t>88</w:t>
      </w:r>
      <w:r>
        <w:rPr>
          <w:rFonts w:hint="eastAsia" w:ascii="仿宋" w:hAnsi="仿宋" w:eastAsia="仿宋" w:cs="仿宋"/>
          <w:sz w:val="30"/>
          <w:szCs w:val="30"/>
        </w:rPr>
        <w:t>人</w:t>
      </w:r>
      <w:r>
        <w:rPr>
          <w:rFonts w:hint="eastAsia" w:ascii="仿宋" w:hAnsi="仿宋" w:eastAsia="仿宋" w:cs="仿宋"/>
          <w:sz w:val="30"/>
          <w:szCs w:val="30"/>
          <w:lang w:eastAsia="zh-CN"/>
        </w:rPr>
        <w:t>，</w:t>
      </w:r>
      <w:r>
        <w:rPr>
          <w:rFonts w:hint="eastAsia" w:ascii="仿宋" w:hAnsi="仿宋" w:eastAsia="仿宋" w:cs="仿宋"/>
          <w:sz w:val="30"/>
          <w:szCs w:val="30"/>
        </w:rPr>
        <w:t>双师型教师168人</w:t>
      </w:r>
      <w:r>
        <w:rPr>
          <w:rFonts w:hint="eastAsia" w:ascii="仿宋" w:hAnsi="仿宋" w:eastAsia="仿宋" w:cs="仿宋"/>
          <w:sz w:val="30"/>
          <w:szCs w:val="30"/>
          <w:lang w:eastAsia="zh-CN"/>
        </w:rPr>
        <w:t>，有行业企业一线工作经历的教师</w:t>
      </w:r>
      <w:r>
        <w:rPr>
          <w:rFonts w:hint="eastAsia" w:ascii="仿宋" w:hAnsi="仿宋" w:eastAsia="仿宋" w:cs="仿宋"/>
          <w:sz w:val="30"/>
          <w:szCs w:val="30"/>
          <w:lang w:val="en-US" w:eastAsia="zh-CN"/>
        </w:rPr>
        <w:t>104人，双师占专任专业教师数</w:t>
      </w:r>
      <w:r>
        <w:rPr>
          <w:rFonts w:hint="eastAsia" w:ascii="仿宋" w:hAnsi="仿宋" w:eastAsia="仿宋" w:cs="仿宋"/>
          <w:sz w:val="30"/>
          <w:szCs w:val="30"/>
        </w:rPr>
        <w:t>各主干专业配备了2位副高以上职称的专任教师。先后涌现出了十多名“省级特级教师”“省级教坛之星”“省级优秀班主任”“全省德育先进个人”“市级学科带头人”“市级骨干教师”。建有5个省级名师工作坊，1个省级名班主任工作室，2个市级技能大师工作室。</w:t>
      </w:r>
    </w:p>
    <w:p>
      <w:pPr>
        <w:adjustRightInd w:val="0"/>
        <w:snapToGrid w:val="0"/>
        <w:jc w:val="center"/>
        <w:outlineLvl w:val="2"/>
        <w:rPr>
          <w:rFonts w:hint="eastAsia" w:ascii="仿宋" w:hAnsi="仿宋" w:eastAsia="仿宋" w:cs="仿宋"/>
          <w:b/>
          <w:kern w:val="0"/>
          <w:sz w:val="28"/>
          <w:szCs w:val="28"/>
        </w:rPr>
      </w:pPr>
      <w:bookmarkStart w:id="22" w:name="_Toc29131"/>
      <w:r>
        <w:rPr>
          <w:rFonts w:hint="eastAsia" w:ascii="仿宋" w:hAnsi="仿宋" w:eastAsia="仿宋" w:cs="仿宋"/>
          <w:b/>
          <w:kern w:val="0"/>
          <w:sz w:val="28"/>
          <w:szCs w:val="28"/>
        </w:rPr>
        <w:t>表</w:t>
      </w:r>
      <w:r>
        <w:rPr>
          <w:rFonts w:hint="eastAsia" w:ascii="仿宋" w:hAnsi="仿宋" w:eastAsia="仿宋" w:cs="仿宋"/>
          <w:b/>
          <w:kern w:val="0"/>
          <w:sz w:val="28"/>
          <w:szCs w:val="28"/>
          <w:lang w:val="en-US" w:eastAsia="zh-CN"/>
        </w:rPr>
        <w:t xml:space="preserve">7  </w:t>
      </w:r>
      <w:r>
        <w:rPr>
          <w:rFonts w:hint="eastAsia" w:ascii="仿宋" w:hAnsi="仿宋" w:eastAsia="仿宋" w:cs="仿宋"/>
          <w:b/>
          <w:kern w:val="0"/>
          <w:sz w:val="28"/>
          <w:szCs w:val="28"/>
        </w:rPr>
        <w:t>学校</w:t>
      </w:r>
      <w:r>
        <w:rPr>
          <w:rFonts w:hint="eastAsia" w:ascii="仿宋" w:hAnsi="仿宋" w:eastAsia="仿宋" w:cs="仿宋"/>
          <w:b/>
          <w:kern w:val="0"/>
          <w:sz w:val="28"/>
          <w:szCs w:val="28"/>
          <w:lang w:eastAsia="zh-CN"/>
        </w:rPr>
        <w:t>师资队伍</w:t>
      </w:r>
      <w:r>
        <w:rPr>
          <w:rFonts w:hint="eastAsia" w:ascii="仿宋" w:hAnsi="仿宋" w:eastAsia="仿宋" w:cs="仿宋"/>
          <w:b/>
          <w:kern w:val="0"/>
          <w:sz w:val="28"/>
          <w:szCs w:val="28"/>
        </w:rPr>
        <w:t>一览表</w:t>
      </w:r>
      <w:bookmarkEnd w:id="22"/>
    </w:p>
    <w:tbl>
      <w:tblPr>
        <w:tblStyle w:val="17"/>
        <w:tblpPr w:leftFromText="180" w:rightFromText="180" w:vertAnchor="text" w:horzAnchor="margin" w:tblpXSpec="center" w:tblpY="173"/>
        <w:tblOverlap w:val="never"/>
        <w:tblW w:w="9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569"/>
        <w:gridCol w:w="1629"/>
        <w:gridCol w:w="1466"/>
        <w:gridCol w:w="2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26"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学年度</w:t>
            </w:r>
          </w:p>
        </w:tc>
        <w:tc>
          <w:tcPr>
            <w:tcW w:w="1276" w:type="dxa"/>
            <w:noWrap w:val="0"/>
            <w:vAlign w:val="center"/>
          </w:tcPr>
          <w:p>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教职工数量</w:t>
            </w:r>
          </w:p>
        </w:tc>
        <w:tc>
          <w:tcPr>
            <w:tcW w:w="1569" w:type="dxa"/>
            <w:noWrap w:val="0"/>
            <w:vAlign w:val="center"/>
          </w:tcPr>
          <w:p>
            <w:pPr>
              <w:adjustRightInd w:val="0"/>
              <w:snapToGrid w:val="0"/>
              <w:spacing w:line="0" w:lineRule="atLeast"/>
              <w:jc w:val="center"/>
              <w:rPr>
                <w:rFonts w:hint="eastAsia" w:ascii="仿宋" w:hAnsi="仿宋" w:eastAsia="仿宋" w:cs="仿宋"/>
                <w:b/>
                <w:bCs/>
                <w:sz w:val="21"/>
                <w:szCs w:val="21"/>
              </w:rPr>
            </w:pPr>
            <w:r>
              <w:rPr>
                <w:rFonts w:hint="eastAsia" w:ascii="仿宋" w:hAnsi="仿宋" w:eastAsia="仿宋" w:cs="仿宋"/>
                <w:b/>
                <w:bCs/>
                <w:sz w:val="21"/>
                <w:szCs w:val="21"/>
              </w:rPr>
              <w:t>专任教师</w:t>
            </w:r>
          </w:p>
        </w:tc>
        <w:tc>
          <w:tcPr>
            <w:tcW w:w="1629" w:type="dxa"/>
            <w:noWrap w:val="0"/>
            <w:vAlign w:val="center"/>
          </w:tcPr>
          <w:p>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高级教师</w:t>
            </w:r>
          </w:p>
        </w:tc>
        <w:tc>
          <w:tcPr>
            <w:tcW w:w="1466" w:type="dxa"/>
            <w:noWrap w:val="0"/>
            <w:vAlign w:val="center"/>
          </w:tcPr>
          <w:p>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双师教师</w:t>
            </w:r>
          </w:p>
        </w:tc>
        <w:tc>
          <w:tcPr>
            <w:tcW w:w="2065" w:type="dxa"/>
            <w:noWrap w:val="0"/>
            <w:vAlign w:val="center"/>
          </w:tcPr>
          <w:p>
            <w:pPr>
              <w:adjustRightInd w:val="0"/>
              <w:snapToGrid w:val="0"/>
              <w:spacing w:line="0" w:lineRule="atLeast"/>
              <w:jc w:val="center"/>
              <w:rPr>
                <w:rFonts w:hint="eastAsia" w:ascii="仿宋" w:hAnsi="仿宋" w:eastAsia="仿宋" w:cs="仿宋"/>
                <w:b/>
                <w:bCs/>
                <w:sz w:val="21"/>
                <w:szCs w:val="21"/>
                <w:lang w:eastAsia="zh-CN"/>
              </w:rPr>
            </w:pPr>
            <w:r>
              <w:rPr>
                <w:rFonts w:hint="eastAsia" w:ascii="仿宋" w:hAnsi="仿宋" w:eastAsia="仿宋" w:cs="仿宋"/>
                <w:b/>
                <w:bCs/>
                <w:sz w:val="21"/>
                <w:szCs w:val="21"/>
                <w:lang w:eastAsia="zh-CN"/>
              </w:rPr>
              <w:t>本科及以上学历教师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pPr>
              <w:spacing w:line="240" w:lineRule="atLeast"/>
              <w:jc w:val="center"/>
              <w:rPr>
                <w:rFonts w:hint="eastAsia" w:ascii="仿宋" w:hAnsi="仿宋" w:eastAsia="仿宋" w:cs="仿宋"/>
                <w:b/>
                <w:sz w:val="21"/>
                <w:szCs w:val="21"/>
                <w:lang w:eastAsia="zh-CN"/>
              </w:rPr>
            </w:pPr>
            <w:r>
              <w:rPr>
                <w:rFonts w:hint="eastAsia" w:ascii="仿宋" w:hAnsi="仿宋" w:eastAsia="仿宋" w:cs="仿宋"/>
                <w:b/>
                <w:sz w:val="21"/>
                <w:szCs w:val="21"/>
              </w:rPr>
              <w:t>202</w:t>
            </w:r>
            <w:r>
              <w:rPr>
                <w:rFonts w:hint="eastAsia" w:ascii="仿宋" w:hAnsi="仿宋" w:eastAsia="仿宋" w:cs="仿宋"/>
                <w:b/>
                <w:sz w:val="21"/>
                <w:szCs w:val="21"/>
                <w:lang w:val="en-US" w:eastAsia="zh-CN"/>
              </w:rPr>
              <w:t>2</w:t>
            </w:r>
            <w:r>
              <w:rPr>
                <w:rFonts w:hint="eastAsia" w:ascii="仿宋" w:hAnsi="仿宋" w:eastAsia="仿宋" w:cs="仿宋"/>
                <w:b/>
                <w:sz w:val="21"/>
                <w:szCs w:val="21"/>
              </w:rPr>
              <w:t>～202</w:t>
            </w:r>
            <w:r>
              <w:rPr>
                <w:rFonts w:hint="eastAsia" w:ascii="仿宋" w:hAnsi="仿宋" w:eastAsia="仿宋" w:cs="仿宋"/>
                <w:b/>
                <w:sz w:val="21"/>
                <w:szCs w:val="21"/>
                <w:lang w:val="en-US" w:eastAsia="zh-CN"/>
              </w:rPr>
              <w:t>3</w:t>
            </w:r>
          </w:p>
        </w:tc>
        <w:tc>
          <w:tcPr>
            <w:tcW w:w="127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296</w:t>
            </w:r>
          </w:p>
        </w:tc>
        <w:tc>
          <w:tcPr>
            <w:tcW w:w="156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265</w:t>
            </w:r>
          </w:p>
        </w:tc>
        <w:tc>
          <w:tcPr>
            <w:tcW w:w="1629"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88</w:t>
            </w:r>
          </w:p>
        </w:tc>
        <w:tc>
          <w:tcPr>
            <w:tcW w:w="1466"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168</w:t>
            </w:r>
          </w:p>
        </w:tc>
        <w:tc>
          <w:tcPr>
            <w:tcW w:w="2065" w:type="dxa"/>
            <w:noWrap w:val="0"/>
            <w:vAlign w:val="center"/>
          </w:tcPr>
          <w:p>
            <w:pPr>
              <w:adjustRightInd w:val="0"/>
              <w:snapToGrid w:val="0"/>
              <w:spacing w:line="0" w:lineRule="atLeast"/>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261</w:t>
            </w:r>
          </w:p>
        </w:tc>
      </w:tr>
    </w:tbl>
    <w:p>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学校积极组织教师参加各项培训，开拓教师视野，丰富教师能力。2023年组织34名教师参加国家级、省级教师培训，组织48名教师赴苏州大学开展教师专项能力提升培训、76名教师赴上海大学参加班主任专项培训。</w:t>
      </w:r>
    </w:p>
    <w:p>
      <w:pPr>
        <w:numPr>
          <w:ilvl w:val="0"/>
          <w:numId w:val="0"/>
        </w:numPr>
        <w:ind w:firstLine="600" w:firstLineChars="200"/>
        <w:rPr>
          <w:rFonts w:hint="eastAsia" w:ascii="仿宋" w:hAnsi="仿宋" w:eastAsia="仿宋" w:cs="仿宋"/>
          <w:b/>
          <w:bCs/>
          <w:sz w:val="30"/>
          <w:szCs w:val="30"/>
          <w:lang w:val="en-US" w:eastAsia="zh-CN"/>
        </w:rPr>
      </w:pPr>
      <w:r>
        <w:rPr>
          <w:rFonts w:hint="eastAsia" w:ascii="仿宋" w:hAnsi="仿宋" w:eastAsia="仿宋" w:cs="仿宋"/>
          <w:b w:val="0"/>
          <w:bCs w:val="0"/>
          <w:sz w:val="30"/>
          <w:szCs w:val="30"/>
          <w:lang w:val="en-US" w:eastAsia="zh-CN"/>
        </w:rPr>
        <w:t>学校重视教师教学能力的提升，组织选拔教师参加各项业务竞赛，特别是积极参加国家、省、市举办的教师教学能力比赛，以赛促教，以赛提能。在2023年度教师教学能力比赛中，共计获得省级二等奖2项、三等奖3项。3名教师分别获得“阜阳市师德标兵”、“阜阳市优秀教师”、“阜阳市教坛之星”称号。</w:t>
      </w:r>
    </w:p>
    <w:p>
      <w:pPr>
        <w:pStyle w:val="28"/>
        <w:keepNext w:val="0"/>
        <w:keepLines w:val="0"/>
        <w:pageBreakBefore w:val="0"/>
        <w:tabs>
          <w:tab w:val="left" w:pos="1364"/>
        </w:tabs>
        <w:kinsoku/>
        <w:wordWrap/>
        <w:overflowPunct/>
        <w:topLinePunct w:val="0"/>
        <w:bidi w:val="0"/>
        <w:spacing w:before="35" w:line="360" w:lineRule="auto"/>
        <w:ind w:right="0" w:firstLine="640"/>
        <w:jc w:val="center"/>
        <w:textAlignment w:val="auto"/>
        <w:rPr>
          <w:rFonts w:hint="eastAsia" w:eastAsia="宋体"/>
          <w:lang w:eastAsia="zh-CN"/>
        </w:rPr>
      </w:pPr>
      <w:r>
        <w:rPr>
          <w:rFonts w:hint="eastAsia" w:eastAsia="宋体"/>
          <w:lang w:eastAsia="zh-CN"/>
        </w:rPr>
        <w:drawing>
          <wp:inline distT="0" distB="0" distL="114300" distR="114300">
            <wp:extent cx="3809365" cy="2672080"/>
            <wp:effectExtent l="0" t="0" r="635" b="13970"/>
            <wp:docPr id="14" name="图片 9" descr="微信图片_2023041609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微信图片_20230416092626"/>
                    <pic:cNvPicPr>
                      <a:picLocks noChangeAspect="1"/>
                    </pic:cNvPicPr>
                  </pic:nvPicPr>
                  <pic:blipFill>
                    <a:blip r:embed="rId16"/>
                    <a:stretch>
                      <a:fillRect/>
                    </a:stretch>
                  </pic:blipFill>
                  <pic:spPr>
                    <a:xfrm>
                      <a:off x="0" y="0"/>
                      <a:ext cx="3809365" cy="2672080"/>
                    </a:xfrm>
                    <a:prstGeom prst="rect">
                      <a:avLst/>
                    </a:prstGeom>
                    <a:noFill/>
                    <a:ln>
                      <a:noFill/>
                    </a:ln>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64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教师教学能力比赛省级一等奖获奖证书</w:t>
      </w:r>
    </w:p>
    <w:p>
      <w:pPr>
        <w:pStyle w:val="28"/>
        <w:keepNext w:val="0"/>
        <w:keepLines w:val="0"/>
        <w:pageBreakBefore w:val="0"/>
        <w:tabs>
          <w:tab w:val="left" w:pos="1364"/>
        </w:tabs>
        <w:kinsoku/>
        <w:wordWrap/>
        <w:overflowPunct/>
        <w:topLinePunct w:val="0"/>
        <w:bidi w:val="0"/>
        <w:spacing w:before="35" w:line="360" w:lineRule="auto"/>
        <w:ind w:right="0" w:firstLine="640"/>
        <w:jc w:val="center"/>
        <w:textAlignment w:val="auto"/>
        <w:rPr>
          <w:rFonts w:hint="eastAsia" w:ascii="仿宋" w:hAnsi="仿宋" w:eastAsia="仿宋" w:cs="仿宋"/>
          <w:b/>
          <w:bCs/>
          <w:sz w:val="32"/>
          <w:szCs w:val="32"/>
          <w:lang w:val="en-US" w:eastAsia="zh-CN"/>
        </w:rPr>
      </w:pPr>
      <w:r>
        <w:rPr>
          <w:rFonts w:hint="eastAsia" w:eastAsia="宋体"/>
          <w:lang w:eastAsia="zh-CN"/>
        </w:rPr>
        <w:drawing>
          <wp:inline distT="0" distB="0" distL="114300" distR="114300">
            <wp:extent cx="4072890" cy="3054985"/>
            <wp:effectExtent l="0" t="0" r="3810" b="12065"/>
            <wp:docPr id="15" name="图片 10" descr="微信图片_2023081110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微信图片_20230811101951"/>
                    <pic:cNvPicPr>
                      <a:picLocks noChangeAspect="1"/>
                    </pic:cNvPicPr>
                  </pic:nvPicPr>
                  <pic:blipFill>
                    <a:blip r:embed="rId17"/>
                    <a:stretch>
                      <a:fillRect/>
                    </a:stretch>
                  </pic:blipFill>
                  <pic:spPr>
                    <a:xfrm>
                      <a:off x="0" y="0"/>
                      <a:ext cx="4072890" cy="3054985"/>
                    </a:xfrm>
                    <a:prstGeom prst="rect">
                      <a:avLst/>
                    </a:prstGeom>
                    <a:noFill/>
                    <a:ln>
                      <a:noFill/>
                    </a:ln>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3137" w:firstLineChars="1302"/>
        <w:textAlignment w:val="auto"/>
        <w:rPr>
          <w:rFonts w:hint="eastAsia" w:ascii="仿宋" w:hAnsi="仿宋" w:eastAsia="仿宋" w:cs="仿宋"/>
          <w:b/>
          <w:bCs/>
          <w:sz w:val="32"/>
          <w:szCs w:val="32"/>
          <w:lang w:val="en-US" w:eastAsia="zh-CN"/>
        </w:rPr>
      </w:pPr>
      <w:r>
        <w:rPr>
          <w:rFonts w:hint="eastAsia" w:ascii="仿宋" w:hAnsi="仿宋" w:eastAsia="仿宋" w:cs="仿宋"/>
          <w:b/>
          <w:bCs/>
          <w:sz w:val="24"/>
          <w:szCs w:val="24"/>
          <w:lang w:eastAsia="zh-CN"/>
        </w:rPr>
        <w:t>教师赴苏州大学培训</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2" w:firstLineChars="200"/>
        <w:jc w:val="both"/>
        <w:textAlignment w:val="auto"/>
        <w:outlineLvl w:val="9"/>
        <w:rPr>
          <w:rFonts w:hint="eastAsia" w:ascii="仿宋" w:hAnsi="仿宋" w:eastAsia="仿宋" w:cs="仿宋"/>
          <w:b/>
          <w:bCs/>
          <w:kern w:val="2"/>
          <w:sz w:val="30"/>
          <w:szCs w:val="30"/>
          <w:lang w:val="en-US" w:eastAsia="zh-CN" w:bidi="ar-SA"/>
        </w:rPr>
      </w:pPr>
      <w:r>
        <w:rPr>
          <w:rFonts w:hint="eastAsia" w:ascii="仿宋" w:hAnsi="仿宋" w:eastAsia="仿宋" w:cs="仿宋"/>
          <w:b/>
          <w:bCs/>
          <w:sz w:val="30"/>
          <w:szCs w:val="30"/>
          <w:lang w:val="en-US" w:eastAsia="zh-CN"/>
        </w:rPr>
        <w:t>案例4</w:t>
      </w:r>
      <w:r>
        <w:rPr>
          <w:rFonts w:hint="eastAsia" w:ascii="仿宋" w:hAnsi="仿宋" w:eastAsia="仿宋" w:cs="仿宋"/>
          <w:b/>
          <w:bCs/>
          <w:kern w:val="2"/>
          <w:sz w:val="30"/>
          <w:szCs w:val="30"/>
          <w:lang w:val="en-US" w:eastAsia="zh-CN" w:bidi="ar-SA"/>
        </w:rPr>
        <w:t>教育教学型创新团队建设。</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组建教育教学型创新团队的核心目的是为了提升我校教育教学质量，提高教育教学质量不能依靠教师的单兵作战，必须依靠“集团军”。所以团队在开学前都会组织教师进行教材组织、教案编写、多媒体课件制作，学期中定期进行优秀示范课讲授、辅导答疑等多项集体活动，学期末进行总结和评价。但随着教学内容的日益综合化、教学手段的现代化，对教师本身的素质提出更好的要求，针对该问题，团队采取一下解决办法与运行规则：</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（1）定期举办教育教学研讨会，与时俱进，及时更新知识结构，了解和掌握各学科的动态和前沿，并要求教师及时调整教学内容，使教学与社会进步保持同步，在教育教学中保持知识的“新鲜度”。</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由团队中各个学科的专业带头人深入了解交叉学科的相关知识。通过学期初例会的方式传达给各专业组教师，并要求教师在备课时掌握交叉学科的知识点。学科交叉，信息融合是信息时代的又一特点，为了使学生适应未来工作岗位的需求，要求教师改变传统单一的知识结构，不断学习和吸纳相关专业领域的知识，保证在教育教学中保持知识的“丰富度”。</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团队定期组织现代化教学手段培训，以前依靠一支粉笔打天下的教育教学手段已慢慢成为历史，由于教学信息量的增加，依靠板书所能表现的信息量有很大的局限性，只有让教师多用、活用多媒体等现代教学手段，才能大大增强教育教学的“表现度”。</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团队定期举行优秀示范课讲授，由前一年教学能力大赛获奖教师讲授一节示范课，教育教学不能单打独斗、闭门造车，一定要多交流和学习，观摩优秀教师的授课技巧与风格，对我校中青年教师有很大的启发和促进作用。</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（5）组织团队教师参加每年一度的阜阳市专业学科教研活动及三优评选，通过活动和比赛，来检验团队一年来的运行成效。</w:t>
      </w:r>
    </w:p>
    <w:p>
      <w:pPr>
        <w:pStyle w:val="15"/>
        <w:keepNext w:val="0"/>
        <w:keepLines w:val="0"/>
        <w:pageBreakBefore w:val="0"/>
        <w:widowControl/>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b/>
          <w:bCs/>
          <w:sz w:val="30"/>
          <w:szCs w:val="30"/>
          <w:lang w:val="en-US" w:eastAsia="zh-CN"/>
        </w:rPr>
      </w:pPr>
      <w:r>
        <w:rPr>
          <w:rFonts w:hint="eastAsia" w:ascii="仿宋" w:hAnsi="仿宋" w:eastAsia="仿宋" w:cs="仿宋"/>
          <w:kern w:val="2"/>
          <w:sz w:val="30"/>
          <w:szCs w:val="30"/>
          <w:lang w:val="en-US" w:eastAsia="zh-CN" w:bidi="ar-SA"/>
        </w:rPr>
        <w:t>（6）根据教师个人特长，逐步探索模块教学，既一门课程由几位教师分模块共同完成教学任务。</w:t>
      </w:r>
    </w:p>
    <w:p>
      <w:pPr>
        <w:widowControl/>
        <w:adjustRightInd w:val="0"/>
        <w:snapToGrid w:val="0"/>
        <w:spacing w:line="360" w:lineRule="auto"/>
        <w:ind w:firstLine="666" w:firstLineChars="221"/>
        <w:jc w:val="left"/>
        <w:outlineLvl w:val="9"/>
        <w:rPr>
          <w:rFonts w:hint="eastAsia" w:ascii="仿宋" w:hAnsi="仿宋" w:eastAsia="仿宋" w:cs="仿宋"/>
          <w:b/>
          <w:bCs/>
          <w:kern w:val="2"/>
          <w:sz w:val="30"/>
          <w:szCs w:val="30"/>
          <w:lang w:val="en-US" w:eastAsia="zh-CN" w:bidi="ar-SA"/>
        </w:rPr>
      </w:pPr>
      <w:r>
        <w:rPr>
          <w:rFonts w:hint="eastAsia" w:ascii="仿宋" w:hAnsi="仿宋" w:eastAsia="仿宋" w:cs="仿宋"/>
          <w:b/>
          <w:bCs/>
          <w:sz w:val="30"/>
          <w:szCs w:val="30"/>
          <w:lang w:val="en-US" w:eastAsia="zh-CN"/>
        </w:rPr>
        <w:t>案例5</w:t>
      </w:r>
      <w:r>
        <w:rPr>
          <w:rFonts w:hint="eastAsia" w:ascii="仿宋" w:hAnsi="仿宋" w:eastAsia="仿宋" w:cs="仿宋"/>
          <w:b/>
          <w:bCs/>
          <w:kern w:val="2"/>
          <w:sz w:val="30"/>
          <w:szCs w:val="30"/>
          <w:lang w:val="en-US" w:eastAsia="zh-CN" w:bidi="ar-SA"/>
        </w:rPr>
        <w:t>教研科研型创新团队建设。</w:t>
      </w:r>
    </w:p>
    <w:p>
      <w:pPr>
        <w:widowControl/>
        <w:adjustRightInd w:val="0"/>
        <w:snapToGrid w:val="0"/>
        <w:spacing w:line="360" w:lineRule="auto"/>
        <w:ind w:firstLine="663" w:firstLineChars="221"/>
        <w:jc w:val="left"/>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以大力提升学校教科研水平为目标，树立 “以科研促教研,以教研促教学，以教学促质量”的教科研理念，坚持“以教育科研为先导，以科研课题研究为载体，以常规教学研究为基础，以课堂教学改革为突破口”的科研导向， 发挥教科研团队辐射、指导作用，以点带面，力争使学校教师“全员、全过程”扎实开展教科研活动，从而提高学校教科研工作的整体水平，真正让教科研成为提升教师个人专业成长、提高教育教学质量，提升教师综合素质。团队运行规则如下：</w:t>
      </w:r>
    </w:p>
    <w:p>
      <w:pPr>
        <w:widowControl/>
        <w:adjustRightInd w:val="0"/>
        <w:snapToGrid w:val="0"/>
        <w:spacing w:line="360" w:lineRule="auto"/>
        <w:ind w:firstLine="663" w:firstLineChars="221"/>
        <w:jc w:val="left"/>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（1）定期组织理论学习大会，提升教师的理论素养，以各专业组为龙头，狠抓教师的理论学习，引导教师树立实践的观点，发展的观点，帮助我校教师不断更新教育理念。</w:t>
      </w:r>
    </w:p>
    <w:p>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2）由团队及各专业组负责人采集当前形式下的前沿理念、课改经验和教改信息，编辑成电子书目，供教师自学时选读，同时鼓励教师根据自己的工作实际再阅读相关书籍，鼓励广大教师积极订阅学科类杂志与报刊，加强自我学习与充电。团队定期交流学习经验和体会，举行教师读书学习笔记展示，评选读书学习活动先进个人，激励先进，鞭策后进，切实提高读书学习活动的实效。在此基础上，组织优秀教育活动评比和读书学习论文评比，促使教师把理论学习和科研实践结合起来，不断提高新的研究水平。</w:t>
      </w:r>
    </w:p>
    <w:p>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3）由团队组织学校全体教师进行知识讲座、学术沙龙活动，使广大教师人人参与教研科研，个个出科研成果，激发全校教师的教研科研热情，营造浓厚的教研科研气氛，壮大教研科研队伍，从而将全校的教研科研工作推到一个崭新的平台。</w:t>
      </w:r>
    </w:p>
    <w:p>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4）组织开展省、市级课题研究，以课题研究为突破口，切实解决教学中的疑难问题，推进课程改革向纵深发展，注重课题研究的过程管理和课题成果的推广，突出教研科研的时效性。每个课题组集中活动每学期不少于五次，内容包括理论学习、阶段性研究讨论等。</w:t>
      </w:r>
    </w:p>
    <w:p>
      <w:pPr>
        <w:widowControl/>
        <w:adjustRightInd w:val="0"/>
        <w:snapToGrid w:val="0"/>
        <w:spacing w:line="360" w:lineRule="auto"/>
        <w:ind w:firstLine="600" w:firstLineChars="200"/>
        <w:jc w:val="left"/>
        <w:outlineLvl w:val="9"/>
        <w:rPr>
          <w:rFonts w:hint="eastAsia" w:ascii="仿宋" w:hAnsi="仿宋" w:eastAsia="仿宋" w:cs="仿宋"/>
          <w:b/>
          <w:bCs/>
          <w:sz w:val="30"/>
          <w:szCs w:val="30"/>
          <w:lang w:val="en-US" w:eastAsia="zh-CN"/>
        </w:rPr>
      </w:pPr>
      <w:r>
        <w:rPr>
          <w:rFonts w:hint="eastAsia" w:ascii="仿宋" w:hAnsi="仿宋" w:eastAsia="仿宋" w:cs="仿宋"/>
          <w:sz w:val="30"/>
          <w:szCs w:val="30"/>
          <w:lang w:val="en-US" w:eastAsia="zh-CN"/>
        </w:rPr>
        <w:t>（5）进一步丰富我校专业文化内涵，每学期开展两次校本课程建设会议，稳步提升育人质量，团队还聘请专家坐镇指导，聚集团队的精英深入探究，将学校的办学理念和人才培养特色用校本课程的方式呈现出来。</w:t>
      </w:r>
    </w:p>
    <w:p>
      <w:pPr>
        <w:widowControl/>
        <w:adjustRightInd w:val="0"/>
        <w:snapToGrid w:val="0"/>
        <w:spacing w:line="360" w:lineRule="auto"/>
        <w:ind w:firstLine="602" w:firstLineChars="200"/>
        <w:jc w:val="left"/>
        <w:outlineLvl w:val="9"/>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案例6技能大赛型创新团队建设。</w:t>
      </w:r>
    </w:p>
    <w:p>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技能大赛型创新团队又分为电子与信息类技能大赛创新团队、装备制造类技能大赛创新团队、交通运输类技能大赛创新团队、文化艺术类技能大赛创新团队、财经商贸类技能大赛创新团队、旅游类技能大赛创新团队。</w:t>
      </w:r>
    </w:p>
    <w:p>
      <w:pPr>
        <w:widowControl/>
        <w:adjustRightInd w:val="0"/>
        <w:snapToGrid w:val="0"/>
        <w:spacing w:line="360" w:lineRule="auto"/>
        <w:ind w:firstLine="600" w:firstLineChars="200"/>
        <w:jc w:val="left"/>
        <w:outlineLvl w:val="9"/>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普通教育有高考，职业教育有大赛，技能大赛已经成为一个学校办学实力核心衡量标准，引领各个中等职业学校开展新一轮的改革。我校技能大赛创新团队主要由学生技能大赛指导教师和教学能力大赛参赛教师组成，团队运行规则如下：</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1）组织集体分析活动，对每年技能竞赛的竞赛规程进行分析，技能竞赛每个赛项都有比赛规程和具体的评分标准，并且每年的竞赛规程大都存在变化，只有对大赛规程研究透彻，才能有效的组织下一步的工作。</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2）组织集体研讨活动，制定科学有效的培训计划，培训计划是对培训工作的整体安排，要以大赛规程为出发点，根据教师及学生的实践能力和实际水平、比赛时间及培训材料，通过集体研讨，制定科学有效的培训计划，在制定的过程中以赛项规程为向导，在此基础上还要兼顾趣味性，提高选手的学习兴趣和主动性。</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3）定期组织竞赛试题设计活动，以项目出发，设计培训试题，在技能中已经没有对单纯理论知识的考核，而是将理论知识的考核引入到实践的任务中，要求选手有较高的理论知识应用能力和实践能力，因此竞赛试题设计活动显得尤为重要。</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（4）定期组织对外交流活动，技能竞赛不能一味单打独斗，闭门造车，需要和高水平的竞赛团队交流学习，由团队负责协调联系各竞赛项目省内外优秀队伍，组织拉练活动，交流学习，取长补短。</w:t>
      </w:r>
    </w:p>
    <w:p>
      <w:pPr>
        <w:pStyle w:val="15"/>
        <w:keepNext w:val="0"/>
        <w:keepLines w:val="0"/>
        <w:pageBreakBefore w:val="0"/>
        <w:widowControl/>
        <w:numPr>
          <w:ilvl w:val="0"/>
          <w:numId w:val="0"/>
        </w:numPr>
        <w:shd w:val="clear" w:color="auto" w:fill="FFFFFF"/>
        <w:kinsoku/>
        <w:wordWrap/>
        <w:overflowPunct/>
        <w:topLinePunct w:val="0"/>
        <w:autoSpaceDE/>
        <w:autoSpaceDN/>
        <w:bidi w:val="0"/>
        <w:adjustRightInd w:val="0"/>
        <w:snapToGrid w:val="0"/>
        <w:spacing w:before="0" w:beforeAutospacing="0" w:after="0" w:afterAutospacing="0" w:line="360" w:lineRule="auto"/>
        <w:ind w:firstLine="600" w:firstLineChars="200"/>
        <w:jc w:val="both"/>
        <w:textAlignment w:val="auto"/>
        <w:outlineLvl w:val="9"/>
        <w:rPr>
          <w:rFonts w:hint="eastAsia" w:ascii="仿宋" w:hAnsi="仿宋" w:eastAsia="仿宋" w:cs="仿宋"/>
          <w:kern w:val="2"/>
          <w:sz w:val="30"/>
          <w:szCs w:val="30"/>
          <w:lang w:val="en-US" w:eastAsia="zh-CN" w:bidi="ar-SA"/>
        </w:rPr>
      </w:pPr>
      <w:r>
        <w:rPr>
          <w:rFonts w:hint="eastAsia" w:ascii="仿宋" w:hAnsi="仿宋" w:eastAsia="仿宋" w:cs="仿宋"/>
          <w:kern w:val="2"/>
          <w:sz w:val="30"/>
          <w:szCs w:val="30"/>
          <w:lang w:val="en-US" w:eastAsia="zh-CN" w:bidi="ar-SA"/>
        </w:rPr>
        <w:t>（5）定期组织学校教学能力竞赛团队研修活动，聘请省级、国家级获奖教师来我校进行交流讲座活动，切实提升我校参赛教师的教学能力水平。</w:t>
      </w:r>
    </w:p>
    <w:p>
      <w:pPr>
        <w:pStyle w:val="28"/>
        <w:keepNext w:val="0"/>
        <w:keepLines w:val="0"/>
        <w:pageBreakBefore w:val="0"/>
        <w:tabs>
          <w:tab w:val="left" w:pos="1364"/>
        </w:tabs>
        <w:kinsoku/>
        <w:wordWrap/>
        <w:overflowPunct/>
        <w:topLinePunct w:val="0"/>
        <w:bidi w:val="0"/>
        <w:spacing w:before="35" w:line="360" w:lineRule="auto"/>
        <w:ind w:left="0" w:leftChars="0" w:right="0" w:firstLine="602" w:firstLineChars="200"/>
        <w:textAlignment w:val="auto"/>
        <w:outlineLvl w:val="0"/>
        <w:rPr>
          <w:rFonts w:hint="eastAsia" w:ascii="仿宋" w:hAnsi="仿宋" w:eastAsia="仿宋" w:cs="仿宋"/>
          <w:b/>
          <w:bCs/>
          <w:sz w:val="30"/>
          <w:szCs w:val="30"/>
          <w:lang w:val="en-US" w:eastAsia="zh-CN"/>
        </w:rPr>
      </w:pPr>
      <w:bookmarkStart w:id="23" w:name="_Toc22219"/>
      <w:r>
        <w:rPr>
          <w:rFonts w:hint="eastAsia" w:ascii="仿宋" w:hAnsi="仿宋" w:eastAsia="仿宋" w:cs="仿宋"/>
          <w:b/>
          <w:bCs/>
          <w:sz w:val="30"/>
          <w:szCs w:val="30"/>
          <w:lang w:val="en-US" w:eastAsia="zh-CN"/>
        </w:rPr>
        <w:t>四、文化传承</w:t>
      </w:r>
      <w:bookmarkEnd w:id="23"/>
    </w:p>
    <w:p>
      <w:pPr>
        <w:pStyle w:val="28"/>
        <w:keepNext w:val="0"/>
        <w:keepLines w:val="0"/>
        <w:pageBreakBefore w:val="0"/>
        <w:tabs>
          <w:tab w:val="left" w:pos="1364"/>
        </w:tabs>
        <w:kinsoku/>
        <w:wordWrap/>
        <w:overflowPunct/>
        <w:topLinePunct w:val="0"/>
        <w:bidi w:val="0"/>
        <w:spacing w:before="35" w:line="360" w:lineRule="auto"/>
        <w:ind w:right="0" w:firstLine="640"/>
        <w:textAlignment w:val="auto"/>
        <w:outlineLvl w:val="1"/>
        <w:rPr>
          <w:rFonts w:hint="eastAsia" w:ascii="仿宋" w:hAnsi="仿宋" w:eastAsia="仿宋" w:cs="仿宋"/>
          <w:b/>
          <w:bCs/>
          <w:sz w:val="30"/>
          <w:szCs w:val="30"/>
          <w:lang w:val="en-US" w:eastAsia="zh-CN"/>
        </w:rPr>
      </w:pPr>
      <w:bookmarkStart w:id="24" w:name="_Toc31921"/>
      <w:r>
        <w:rPr>
          <w:rFonts w:hint="eastAsia" w:ascii="仿宋" w:hAnsi="仿宋" w:eastAsia="仿宋" w:cs="仿宋"/>
          <w:b/>
          <w:bCs/>
          <w:sz w:val="30"/>
          <w:szCs w:val="30"/>
          <w:lang w:val="en-US" w:eastAsia="zh-CN"/>
        </w:rPr>
        <w:t>4.1红色基因传承</w:t>
      </w:r>
      <w:bookmarkEnd w:id="24"/>
    </w:p>
    <w:p>
      <w:pPr>
        <w:numPr>
          <w:ilvl w:val="0"/>
          <w:numId w:val="0"/>
        </w:numPr>
        <w:ind w:firstLine="600" w:firstLineChars="200"/>
        <w:rPr>
          <w:rFonts w:hint="default"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w:t>
      </w:r>
      <w:r>
        <w:rPr>
          <w:rFonts w:hint="default" w:ascii="仿宋" w:hAnsi="仿宋" w:eastAsia="仿宋" w:cs="仿宋"/>
          <w:b w:val="0"/>
          <w:bCs w:val="0"/>
          <w:sz w:val="30"/>
          <w:szCs w:val="30"/>
          <w:lang w:val="en-US" w:eastAsia="zh-CN"/>
        </w:rPr>
        <w:t>“以党建带团建、团建促党建”为抓手，强化学生思想道德教育。积极与校团委配合，组织宣传报道师生党的二十大精神“微宣讲”进班级，国旗下宣讲、主题黑板报、团员集体入团宣誓、读书分享会、开展以“挺膺担当”为核心的团员和青年主题教育学习，到阜阳革命烈士纪念馆、党史馆、王家坝红色教育基地开展党史学习和警示教育活动等活动。</w:t>
      </w:r>
    </w:p>
    <w:p>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学校以学习党的二十大、团的十九大精神、团员青年主题教育为契机，广泛开展“追忆红色记忆 ”主题团日活动，组织观影、专题学习、新团员入团宣誓、参观红色主题展馆等一系列活动，将党史学习教育作为统领全年共青团宣传工作的主题，引导广大团员青年学习党史、坚定信念、紧跟党走。</w:t>
      </w:r>
    </w:p>
    <w:p>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学校开展以“传承红色基因”为主题的庆祝团的十九大胜利召开系列活动，充分调动团员青年的参与热情，教育引导全校广大团干部和团员青年厚植红色基因，自觉听党话跟党走。</w:t>
      </w:r>
    </w:p>
    <w:p>
      <w:pPr>
        <w:numPr>
          <w:ilvl w:val="0"/>
          <w:numId w:val="0"/>
        </w:numPr>
        <w:rPr>
          <w:rFonts w:hint="eastAsia" w:ascii="仿宋" w:hAnsi="仿宋" w:eastAsia="仿宋" w:cs="仿宋"/>
          <w:b/>
          <w:bCs/>
          <w:sz w:val="32"/>
          <w:szCs w:val="32"/>
          <w:lang w:val="en-US"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449445" cy="2955925"/>
            <wp:effectExtent l="0" t="0" r="8255" b="15875"/>
            <wp:docPr id="1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56"/>
                    <pic:cNvPicPr>
                      <a:picLocks noChangeAspect="1"/>
                    </pic:cNvPicPr>
                  </pic:nvPicPr>
                  <pic:blipFill>
                    <a:blip r:embed="rId18"/>
                    <a:stretch>
                      <a:fillRect/>
                    </a:stretch>
                  </pic:blipFill>
                  <pic:spPr>
                    <a:xfrm>
                      <a:off x="0" y="0"/>
                      <a:ext cx="4449445" cy="2955925"/>
                    </a:xfrm>
                    <a:prstGeom prst="rect">
                      <a:avLst/>
                    </a:prstGeom>
                    <a:noFill/>
                    <a:ln w="9525">
                      <a:noFill/>
                    </a:ln>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3137" w:firstLineChars="1302"/>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师生共寻红色记忆</w:t>
      </w:r>
    </w:p>
    <w:p>
      <w:pPr>
        <w:pStyle w:val="28"/>
        <w:keepNext w:val="0"/>
        <w:keepLines w:val="0"/>
        <w:pageBreakBefore w:val="0"/>
        <w:tabs>
          <w:tab w:val="left" w:pos="1364"/>
        </w:tabs>
        <w:kinsoku/>
        <w:wordWrap/>
        <w:overflowPunct/>
        <w:topLinePunct w:val="0"/>
        <w:bidi w:val="0"/>
        <w:spacing w:before="35" w:line="360" w:lineRule="auto"/>
        <w:ind w:right="0"/>
        <w:jc w:val="both"/>
        <w:textAlignment w:val="auto"/>
        <w:rPr>
          <w:rFonts w:hint="eastAsia" w:ascii="仿宋" w:hAnsi="仿宋" w:eastAsia="仿宋" w:cs="仿宋"/>
          <w:b/>
          <w:bCs/>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4261485" cy="2840990"/>
            <wp:effectExtent l="0" t="0" r="5715" b="1651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9"/>
                    <a:stretch>
                      <a:fillRect/>
                    </a:stretch>
                  </pic:blipFill>
                  <pic:spPr>
                    <a:xfrm>
                      <a:off x="0" y="0"/>
                      <a:ext cx="4261485" cy="2840990"/>
                    </a:xfrm>
                    <a:prstGeom prst="rect">
                      <a:avLst/>
                    </a:prstGeom>
                    <a:noFill/>
                    <a:ln w="9525">
                      <a:noFill/>
                    </a:ln>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3137" w:firstLineChars="1302"/>
        <w:jc w:val="both"/>
        <w:textAlignment w:val="auto"/>
        <w:outlineLvl w:val="1"/>
        <w:rPr>
          <w:rFonts w:hint="default" w:ascii="仿宋" w:hAnsi="仿宋" w:eastAsia="仿宋" w:cs="仿宋"/>
          <w:b/>
          <w:bCs/>
          <w:sz w:val="24"/>
          <w:szCs w:val="24"/>
          <w:lang w:val="en-US" w:eastAsia="zh-CN"/>
        </w:rPr>
      </w:pPr>
      <w:bookmarkStart w:id="25" w:name="_Toc7237"/>
      <w:r>
        <w:rPr>
          <w:rFonts w:hint="eastAsia" w:ascii="仿宋" w:hAnsi="仿宋" w:eastAsia="仿宋" w:cs="仿宋"/>
          <w:b/>
          <w:bCs/>
          <w:sz w:val="24"/>
          <w:szCs w:val="24"/>
          <w:lang w:val="en-US" w:eastAsia="zh-CN"/>
        </w:rPr>
        <w:t>二十大精神宣讲</w:t>
      </w:r>
    </w:p>
    <w:p>
      <w:pPr>
        <w:pStyle w:val="28"/>
        <w:keepNext w:val="0"/>
        <w:keepLines w:val="0"/>
        <w:pageBreakBefore w:val="0"/>
        <w:tabs>
          <w:tab w:val="left" w:pos="1364"/>
        </w:tabs>
        <w:kinsoku/>
        <w:wordWrap/>
        <w:overflowPunct/>
        <w:topLinePunct w:val="0"/>
        <w:bidi w:val="0"/>
        <w:spacing w:before="35" w:line="360" w:lineRule="auto"/>
        <w:ind w:right="0" w:firstLine="640"/>
        <w:textAlignment w:val="auto"/>
        <w:outlineLvl w:val="1"/>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4.2校园文化建设</w:t>
      </w:r>
      <w:bookmarkEnd w:id="25"/>
    </w:p>
    <w:p>
      <w:pPr>
        <w:numPr>
          <w:ilvl w:val="0"/>
          <w:numId w:val="0"/>
        </w:numPr>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坚持丰富校园文化与提升学生综合素质相结合，围绕学校立德树人的根本任务，着力推进有时代感的校园文化建设。开展具有时代特征的各类主题教育活动，持续构建“学校有精品、班级有特色、班团有活力”的文化格局。组织开展学校青年学子热议习近平总书记关于雷锋精神的重要指示、校园反诈宣传筑牢学生防骗“安全网”、“我们的节日 精神家园”-清明祭英烈、追寻红色记忆传承红色基因-主题团日、珍爱生命，防溺水安全讲座、阅读的力量系列读书分享会、“科技改变生活 创新引领未来”科普讲座、“新光璀璨 青春正好”-迎新晚会、校园篮球赛、第十四届校园文化艺术节等，积极引进高雅艺术进校园，不断丰富符合新时代青年特点的文化供给。</w:t>
      </w:r>
    </w:p>
    <w:p>
      <w:pPr>
        <w:pStyle w:val="28"/>
        <w:keepNext w:val="0"/>
        <w:keepLines w:val="0"/>
        <w:pageBreakBefore w:val="0"/>
        <w:tabs>
          <w:tab w:val="left" w:pos="1364"/>
        </w:tabs>
        <w:kinsoku/>
        <w:wordWrap/>
        <w:overflowPunct/>
        <w:topLinePunct w:val="0"/>
        <w:bidi w:val="0"/>
        <w:spacing w:before="35" w:line="360" w:lineRule="auto"/>
        <w:ind w:right="0"/>
        <w:jc w:val="center"/>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drawing>
          <wp:inline distT="0" distB="0" distL="114300" distR="114300">
            <wp:extent cx="4996815" cy="3025775"/>
            <wp:effectExtent l="0" t="0" r="13335" b="3175"/>
            <wp:docPr id="1" name="图片 1" descr="捕获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23"/>
                    <pic:cNvPicPr>
                      <a:picLocks noChangeAspect="1"/>
                    </pic:cNvPicPr>
                  </pic:nvPicPr>
                  <pic:blipFill>
                    <a:blip r:embed="rId20"/>
                    <a:stretch>
                      <a:fillRect/>
                    </a:stretch>
                  </pic:blipFill>
                  <pic:spPr>
                    <a:xfrm>
                      <a:off x="0" y="0"/>
                      <a:ext cx="4996815" cy="3025775"/>
                    </a:xfrm>
                    <a:prstGeom prst="rect">
                      <a:avLst/>
                    </a:prstGeom>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3378" w:firstLineChars="1402"/>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校园文艺演出（1）</w:t>
      </w:r>
    </w:p>
    <w:p>
      <w:pPr>
        <w:pStyle w:val="28"/>
        <w:keepNext w:val="0"/>
        <w:keepLines w:val="0"/>
        <w:pageBreakBefore w:val="0"/>
        <w:tabs>
          <w:tab w:val="left" w:pos="1364"/>
        </w:tabs>
        <w:kinsoku/>
        <w:wordWrap/>
        <w:overflowPunct/>
        <w:topLinePunct w:val="0"/>
        <w:bidi w:val="0"/>
        <w:spacing w:before="35" w:line="360" w:lineRule="auto"/>
        <w:ind w:right="0"/>
        <w:jc w:val="center"/>
        <w:textAlignment w:val="auto"/>
        <w:rPr>
          <w:rFonts w:hint="default" w:ascii="仿宋" w:hAnsi="仿宋" w:eastAsia="仿宋" w:cs="仿宋"/>
          <w:b/>
          <w:bCs/>
          <w:sz w:val="24"/>
          <w:szCs w:val="24"/>
          <w:lang w:val="en-US" w:eastAsia="zh-CN"/>
        </w:rPr>
      </w:pPr>
      <w:r>
        <w:rPr>
          <w:rFonts w:hint="default" w:ascii="仿宋" w:hAnsi="仿宋" w:eastAsia="仿宋" w:cs="仿宋"/>
          <w:b/>
          <w:bCs/>
          <w:sz w:val="24"/>
          <w:szCs w:val="24"/>
          <w:lang w:val="en-US" w:eastAsia="zh-CN"/>
        </w:rPr>
        <w:drawing>
          <wp:inline distT="0" distB="0" distL="114300" distR="114300">
            <wp:extent cx="4981575" cy="3314700"/>
            <wp:effectExtent l="0" t="0" r="9525" b="0"/>
            <wp:docPr id="2" name="图片 2"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1"/>
                    <pic:cNvPicPr>
                      <a:picLocks noChangeAspect="1"/>
                    </pic:cNvPicPr>
                  </pic:nvPicPr>
                  <pic:blipFill>
                    <a:blip r:embed="rId21"/>
                    <a:stretch>
                      <a:fillRect/>
                    </a:stretch>
                  </pic:blipFill>
                  <pic:spPr>
                    <a:xfrm>
                      <a:off x="0" y="0"/>
                      <a:ext cx="4981575" cy="3314700"/>
                    </a:xfrm>
                    <a:prstGeom prst="rect">
                      <a:avLst/>
                    </a:prstGeom>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3378" w:firstLineChars="1402"/>
        <w:jc w:val="both"/>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校园文艺演出（2）</w:t>
      </w:r>
    </w:p>
    <w:p>
      <w:pPr>
        <w:pStyle w:val="28"/>
        <w:keepNext w:val="0"/>
        <w:keepLines w:val="0"/>
        <w:pageBreakBefore w:val="0"/>
        <w:tabs>
          <w:tab w:val="left" w:pos="1364"/>
        </w:tabs>
        <w:kinsoku/>
        <w:wordWrap/>
        <w:overflowPunct/>
        <w:topLinePunct w:val="0"/>
        <w:bidi w:val="0"/>
        <w:spacing w:before="35" w:line="360" w:lineRule="auto"/>
        <w:ind w:right="0" w:firstLine="640"/>
        <w:jc w:val="both"/>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drawing>
          <wp:inline distT="0" distB="0" distL="114300" distR="114300">
            <wp:extent cx="4410710" cy="2857500"/>
            <wp:effectExtent l="0" t="0" r="8890" b="0"/>
            <wp:docPr id="19" name="图片 19"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捕获2"/>
                    <pic:cNvPicPr>
                      <a:picLocks noChangeAspect="1"/>
                    </pic:cNvPicPr>
                  </pic:nvPicPr>
                  <pic:blipFill>
                    <a:blip r:embed="rId22"/>
                    <a:stretch>
                      <a:fillRect/>
                    </a:stretch>
                  </pic:blipFill>
                  <pic:spPr>
                    <a:xfrm>
                      <a:off x="0" y="0"/>
                      <a:ext cx="4410710" cy="2857500"/>
                    </a:xfrm>
                    <a:prstGeom prst="rect">
                      <a:avLst/>
                    </a:prstGeom>
                  </pic:spPr>
                </pic:pic>
              </a:graphicData>
            </a:graphic>
          </wp:inline>
        </w:drawing>
      </w:r>
    </w:p>
    <w:p>
      <w:pPr>
        <w:pStyle w:val="28"/>
        <w:keepNext w:val="0"/>
        <w:keepLines w:val="0"/>
        <w:pageBreakBefore w:val="0"/>
        <w:tabs>
          <w:tab w:val="left" w:pos="1364"/>
        </w:tabs>
        <w:kinsoku/>
        <w:wordWrap/>
        <w:overflowPunct/>
        <w:topLinePunct w:val="0"/>
        <w:bidi w:val="0"/>
        <w:spacing w:before="35" w:line="360" w:lineRule="auto"/>
        <w:ind w:right="0" w:firstLine="3356" w:firstLineChars="1393"/>
        <w:textAlignment w:val="auto"/>
        <w:rPr>
          <w:rFonts w:hint="eastAsia" w:ascii="仿宋" w:hAnsi="仿宋" w:eastAsia="仿宋" w:cs="仿宋"/>
          <w:b/>
          <w:bCs/>
          <w:sz w:val="32"/>
          <w:szCs w:val="32"/>
          <w:lang w:val="en-US" w:eastAsia="zh-CN"/>
        </w:rPr>
      </w:pPr>
      <w:r>
        <w:rPr>
          <w:rFonts w:hint="eastAsia" w:ascii="仿宋" w:hAnsi="仿宋" w:eastAsia="仿宋" w:cs="仿宋"/>
          <w:b/>
          <w:bCs/>
          <w:sz w:val="24"/>
          <w:szCs w:val="24"/>
          <w:lang w:val="en-US" w:eastAsia="zh-CN"/>
        </w:rPr>
        <w:t>学生作品</w:t>
      </w:r>
    </w:p>
    <w:p>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4.3平安校园</w:t>
      </w:r>
    </w:p>
    <w:p>
      <w:pPr>
        <w:numPr>
          <w:ilvl w:val="0"/>
          <w:numId w:val="0"/>
        </w:numPr>
        <w:ind w:firstLine="640"/>
        <w:rPr>
          <w:rFonts w:hint="default" w:ascii="仿宋" w:hAnsi="仿宋" w:eastAsia="仿宋" w:cs="仿宋"/>
          <w:b/>
          <w:bCs/>
          <w:sz w:val="30"/>
          <w:szCs w:val="30"/>
          <w:lang w:val="en-US" w:eastAsia="zh-CN"/>
        </w:rPr>
      </w:pPr>
      <w:r>
        <w:rPr>
          <w:rFonts w:hint="eastAsia" w:ascii="仿宋" w:hAnsi="仿宋" w:eastAsia="仿宋" w:cs="仿宋"/>
          <w:sz w:val="30"/>
          <w:szCs w:val="30"/>
          <w:lang w:val="en-US" w:eastAsia="zh-CN"/>
        </w:rPr>
        <w:t>学校严格执行中央、省市有关安全工作指示要求，积极开展工作，制定方案、监督检查、总结上报，确保校园安全。（1）校园安全：学校积极开展校园安全隐患大排查大整治活动，建立问题台账，对标清零，并常态化开展工作；建章立制，消除安全隐患，如学生寝室用电安全问题得到很好控制；开展校园交通安全整治，通过加强思想宣传工作，安装减速板、限速标志、隔离墩等辅助设施，规范校园秩序；（2）校园消防安全：一是学校每月定期开展消防设施设备检查、维保维护；二是加强全体师生的宣传教育，如邀请颍州消防大队干事在报告厅对23级学生进行消防知识培训；三是积极开展各项演练，如义务消防员、实习实训教师及学生，通过开展系列活动增强全体师生消防安全意识，提高应对消防事故能力。（3）时刻围绕“责任落实了没有、工作到位了没有、风险隐患消除了没有”，积极开展校园巡查，坚决防止“死角”和“盲区”，发现问题，及时处理、及时汇报，确保校园安全。</w:t>
      </w:r>
    </w:p>
    <w:p>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i w:val="0"/>
          <w:iCs w:val="0"/>
          <w:caps w:val="0"/>
          <w:color w:val="07133E"/>
          <w:spacing w:val="4"/>
          <w:kern w:val="0"/>
          <w:sz w:val="30"/>
          <w:szCs w:val="30"/>
          <w:lang w:val="en-US" w:eastAsia="zh-CN" w:bidi="ar"/>
        </w:rPr>
      </w:pPr>
      <w:r>
        <w:rPr>
          <w:rFonts w:hint="eastAsia" w:ascii="仿宋" w:hAnsi="仿宋" w:eastAsia="仿宋" w:cs="仿宋"/>
          <w:b/>
          <w:bCs/>
          <w:sz w:val="30"/>
          <w:szCs w:val="30"/>
          <w:lang w:val="en-US" w:eastAsia="zh-CN"/>
        </w:rPr>
        <w:t xml:space="preserve">案例7 </w:t>
      </w:r>
      <w:r>
        <w:rPr>
          <w:rFonts w:hint="eastAsia" w:ascii="仿宋" w:hAnsi="仿宋" w:eastAsia="仿宋" w:cs="仿宋"/>
          <w:b/>
          <w:bCs/>
          <w:i w:val="0"/>
          <w:iCs w:val="0"/>
          <w:caps w:val="0"/>
          <w:color w:val="07133E"/>
          <w:spacing w:val="4"/>
          <w:kern w:val="0"/>
          <w:sz w:val="30"/>
          <w:szCs w:val="30"/>
          <w:lang w:val="en-US" w:eastAsia="zh-CN" w:bidi="ar"/>
        </w:rPr>
        <w:t>深耕红色文化凝心铸魂。</w:t>
      </w:r>
      <w:r>
        <w:rPr>
          <w:rFonts w:hint="eastAsia" w:ascii="仿宋" w:hAnsi="仿宋" w:eastAsia="仿宋" w:cs="仿宋"/>
          <w:i w:val="0"/>
          <w:iCs w:val="0"/>
          <w:caps w:val="0"/>
          <w:color w:val="07133E"/>
          <w:spacing w:val="4"/>
          <w:kern w:val="0"/>
          <w:sz w:val="30"/>
          <w:szCs w:val="30"/>
          <w:lang w:val="en-US" w:eastAsia="zh-CN" w:bidi="ar"/>
        </w:rPr>
        <w:t>（1）坚持红色育人 加强青年学生爱国主义教育，营造校园红色文化氛围学校，组织观看红色电影、阅读红色书籍、开展理论学习，设立红色文化宣传栏、校园广播播放红色文化节目，让青年学生从耳濡目染的红色文化中汲取爱国主义信念，增强文化自信，锤炼高尚品格。（2）开发红色文化育人资源 凝聚爱国主义精神力量，开展“红色走读”学校利用红色教育基地开展“红色走读”等社会实践，组织学生到革命烈士纪念馆、党史馆、档案馆等地接受爱国主义教育，聆听革命故事，学习先辈们的革命精神，用红色基因铸魂、红色历史强根、红色传统固本，进一步厚植爱党爱国情怀。（3）开展红色文化育人活动 养成爱国主义自觉行动，组建红色文化宣讲团学校以团员为骨干组建红色文化宣讲团，面向各班级开展宣讲，并将宣讲内容纳入学生入团积极分子培训课程、红色主题班会、诵读红色家书，充分发挥朋辈引领作用。组织学生通过红色读本、红色影音、红色故事讲演视频以及“追寻红色足迹”“网上祭英烈”等互动形式传承红色基因，赓续红色血脉。</w:t>
      </w:r>
    </w:p>
    <w:p>
      <w:pPr>
        <w:keepNext w:val="0"/>
        <w:keepLines w:val="0"/>
        <w:pageBreakBefore w:val="0"/>
        <w:kinsoku/>
        <w:wordWrap/>
        <w:overflowPunct/>
        <w:topLinePunct w:val="0"/>
        <w:autoSpaceDE/>
        <w:autoSpaceDN/>
        <w:bidi w:val="0"/>
        <w:adjustRightInd/>
        <w:snapToGrid/>
        <w:spacing w:line="480" w:lineRule="auto"/>
        <w:ind w:firstLine="602" w:firstLineChars="200"/>
        <w:textAlignment w:val="auto"/>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案例8 </w:t>
      </w:r>
      <w:r>
        <w:rPr>
          <w:rFonts w:hint="eastAsia" w:ascii="仿宋" w:hAnsi="仿宋" w:eastAsia="仿宋" w:cs="仿宋"/>
          <w:b/>
          <w:bCs/>
          <w:i w:val="0"/>
          <w:iCs w:val="0"/>
          <w:caps w:val="0"/>
          <w:color w:val="07133E"/>
          <w:spacing w:val="4"/>
          <w:kern w:val="0"/>
          <w:sz w:val="30"/>
          <w:szCs w:val="30"/>
          <w:lang w:val="en-US" w:eastAsia="zh-CN" w:bidi="ar"/>
        </w:rPr>
        <w:t>强化人文活动，筑牢思想引领。</w:t>
      </w:r>
      <w:r>
        <w:rPr>
          <w:rFonts w:hint="eastAsia" w:ascii="仿宋" w:hAnsi="仿宋" w:eastAsia="仿宋" w:cs="仿宋"/>
          <w:i w:val="0"/>
          <w:iCs w:val="0"/>
          <w:caps w:val="0"/>
          <w:color w:val="07133E"/>
          <w:spacing w:val="4"/>
          <w:kern w:val="0"/>
          <w:sz w:val="30"/>
          <w:szCs w:val="30"/>
          <w:lang w:val="en-US" w:eastAsia="zh-CN" w:bidi="ar"/>
        </w:rPr>
        <w:t>学校持续深入学习宣传贯彻党的十九大、十九届历次全会和二十大精神，形成了以学习宣传贯彻习近平新时代中国特色社会主义思想为主线，以中国特色社会主义和中华名族伟大复兴宣传教育为主题，以培育和践行社会主义核心价值观为引领，以组织育人、实践育人、文化育人、服务育人为特色的思想政治引领体系；骨干培养和普遍培养相结合，年级分层分类一体化引领工作体系逐步健全。深化青年大学习行动，打造学习型团组织，不断巩固深化“不忘初心、牢记使命”、“学习二十大、奋进新征程”、“与信仰对话—青年的楷模”等主题教育，统筹开展思想政治教育、伟大成就教育、爱国主义教育。围绕建国70周年、建党100周年、五四运动100周年等重要节点，深入开展理想信念教育，扎实开展四史学习教育；带动团支部和学生社团，组织青年讲师走进各班团支部进行宣讲，“组织开展青年主题学习座谈、青年主题实践活动”，切实将团员青年思想理论武装工作不断引向深入。组织团员青年深入学习习近平总书记在建团百年庆祝大会上的重要讲话，深切感受习近平总书记和党中央的关心关怀，深刻领悟“两个确立”的决定性意义，增强做到“两个维护”的思想自觉。</w:t>
      </w:r>
    </w:p>
    <w:p>
      <w:pPr>
        <w:pStyle w:val="28"/>
        <w:keepNext w:val="0"/>
        <w:keepLines w:val="0"/>
        <w:pageBreakBefore w:val="0"/>
        <w:tabs>
          <w:tab w:val="left" w:pos="1364"/>
        </w:tabs>
        <w:kinsoku/>
        <w:wordWrap/>
        <w:overflowPunct/>
        <w:topLinePunct w:val="0"/>
        <w:bidi w:val="0"/>
        <w:spacing w:before="35" w:line="360" w:lineRule="auto"/>
        <w:ind w:right="0" w:firstLine="640"/>
        <w:textAlignment w:val="auto"/>
        <w:outlineLvl w:val="0"/>
        <w:rPr>
          <w:rFonts w:hint="default" w:ascii="仿宋" w:hAnsi="仿宋" w:eastAsia="仿宋" w:cs="仿宋"/>
          <w:b/>
          <w:bCs/>
          <w:sz w:val="30"/>
          <w:szCs w:val="30"/>
          <w:lang w:val="en-US" w:eastAsia="zh-CN"/>
        </w:rPr>
      </w:pPr>
      <w:bookmarkStart w:id="26" w:name="_Toc6630"/>
      <w:r>
        <w:rPr>
          <w:rFonts w:hint="eastAsia" w:ascii="仿宋" w:hAnsi="仿宋" w:eastAsia="仿宋" w:cs="仿宋"/>
          <w:b/>
          <w:bCs/>
          <w:sz w:val="30"/>
          <w:szCs w:val="30"/>
          <w:lang w:val="en-US" w:eastAsia="zh-CN"/>
        </w:rPr>
        <w:t>五、产教融合</w:t>
      </w:r>
      <w:bookmarkEnd w:id="26"/>
    </w:p>
    <w:p>
      <w:pPr>
        <w:ind w:firstLine="602" w:firstLineChars="200"/>
        <w:rPr>
          <w:rFonts w:hint="eastAsia" w:ascii="仿宋" w:hAnsi="仿宋" w:eastAsia="仿宋" w:cs="仿宋"/>
          <w:color w:val="auto"/>
          <w:sz w:val="32"/>
          <w:szCs w:val="32"/>
          <w:lang w:val="en-US" w:eastAsia="zh-CN"/>
        </w:rPr>
      </w:pPr>
      <w:r>
        <w:rPr>
          <w:rFonts w:hint="eastAsia" w:ascii="仿宋" w:hAnsi="仿宋" w:eastAsia="仿宋" w:cs="仿宋"/>
          <w:b/>
          <w:bCs w:val="0"/>
          <w:sz w:val="30"/>
          <w:szCs w:val="30"/>
          <w:lang w:val="en-US" w:eastAsia="zh-CN"/>
        </w:rPr>
        <w:t>5.1校企合作育人</w:t>
      </w:r>
      <w:r>
        <w:rPr>
          <w:rFonts w:hint="eastAsia" w:ascii="仿宋" w:hAnsi="仿宋" w:eastAsia="仿宋" w:cs="仿宋"/>
          <w:bCs/>
          <w:sz w:val="30"/>
          <w:szCs w:val="30"/>
          <w:lang w:eastAsia="zh-CN"/>
        </w:rPr>
        <w:t>。在学校统一组织下，各专业积极开展调研和研讨，精选合作企业，现每个主干专业已与 3 个以上有较大影响力的企业建立了稳定的合作关系，如计算机专业与阜阳市云康云计算有限公司、阜阳市天阳信息科技有限公司等公司，会计专业与安徽大正会计师事务所等公司，数控专业与阜阳信泰机电有限公司等公司，汽修专业与阜阳嘉华汽车销售有限公司等公司，电子商务专业与阜阳市华宇传媒有限公司等公司均建立了稳定的合作关系。学校与颍州区人民政府签订专业共建与合作办学协议书及校企合作框架协议。2018年被评为安徽省首批校企合作示范典型学校，</w:t>
      </w:r>
      <w:r>
        <w:rPr>
          <w:rFonts w:hint="eastAsia" w:ascii="仿宋" w:hAnsi="仿宋" w:eastAsia="仿宋" w:cs="仿宋"/>
          <w:bCs/>
          <w:sz w:val="30"/>
          <w:szCs w:val="30"/>
          <w:lang w:val="en-US" w:eastAsia="zh-CN"/>
        </w:rPr>
        <w:t>2021年被评为安徽省职业教育创新发展实验区—校企深度合作示范学校培育项目，2023年</w:t>
      </w:r>
      <w:r>
        <w:rPr>
          <w:rFonts w:hint="eastAsia" w:ascii="仿宋" w:hAnsi="仿宋" w:eastAsia="仿宋" w:cs="仿宋"/>
          <w:color w:val="auto"/>
          <w:sz w:val="30"/>
          <w:szCs w:val="30"/>
          <w:lang w:val="en-US" w:eastAsia="zh-CN"/>
        </w:rPr>
        <w:t>成功申报“安徽省职业院校学生实习管理服务平台”试点单位，使我校成为阜阳市唯一一所学生实习管理服务平台试点单位。</w:t>
      </w:r>
    </w:p>
    <w:p>
      <w:pPr>
        <w:pStyle w:val="16"/>
        <w:rPr>
          <w:sz w:val="20"/>
        </w:rPr>
      </w:pPr>
      <w:r>
        <w:rPr>
          <w:sz w:val="20"/>
        </w:rPr>
        <w:drawing>
          <wp:inline distT="0" distB="0" distL="114300" distR="114300">
            <wp:extent cx="4579620" cy="3435350"/>
            <wp:effectExtent l="0" t="0" r="11430" b="12700"/>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23"/>
                    <a:stretch>
                      <a:fillRect/>
                    </a:stretch>
                  </pic:blipFill>
                  <pic:spPr>
                    <a:xfrm>
                      <a:off x="0" y="0"/>
                      <a:ext cx="4579620" cy="3435350"/>
                    </a:xfrm>
                    <a:prstGeom prst="rect">
                      <a:avLst/>
                    </a:prstGeom>
                    <a:noFill/>
                    <a:ln>
                      <a:noFill/>
                    </a:ln>
                  </pic:spPr>
                </pic:pic>
              </a:graphicData>
            </a:graphic>
          </wp:inline>
        </w:drawing>
      </w:r>
    </w:p>
    <w:p>
      <w:pPr>
        <w:pStyle w:val="16"/>
        <w:ind w:firstLine="2409" w:firstLineChars="1000"/>
        <w:jc w:val="both"/>
        <w:rPr>
          <w:rFonts w:hint="eastAsia" w:ascii="仿宋" w:hAnsi="仿宋" w:eastAsia="仿宋" w:cs="仿宋"/>
          <w:kern w:val="2"/>
          <w:sz w:val="32"/>
          <w:szCs w:val="32"/>
          <w:lang w:eastAsia="zh-CN"/>
        </w:rPr>
      </w:pPr>
      <w:r>
        <w:rPr>
          <w:rFonts w:hint="eastAsia" w:ascii="仿宋" w:hAnsi="仿宋" w:eastAsia="仿宋" w:cs="仿宋"/>
          <w:b/>
          <w:bCs/>
          <w:sz w:val="24"/>
          <w:szCs w:val="24"/>
          <w:lang w:eastAsia="zh-CN"/>
        </w:rPr>
        <w:t>学生赴校企合作基地进行学习</w:t>
      </w:r>
    </w:p>
    <w:p>
      <w:pPr>
        <w:jc w:val="center"/>
        <w:rPr>
          <w:rFonts w:hint="eastAsia" w:ascii="仿宋" w:hAnsi="仿宋" w:eastAsia="仿宋" w:cs="仿宋"/>
          <w:b/>
          <w:color w:val="auto"/>
          <w:sz w:val="28"/>
        </w:rPr>
      </w:pPr>
      <w:r>
        <w:rPr>
          <w:rFonts w:hint="eastAsia" w:ascii="仿宋" w:hAnsi="仿宋" w:eastAsia="仿宋" w:cs="仿宋"/>
          <w:b/>
          <w:color w:val="auto"/>
          <w:sz w:val="28"/>
          <w:lang w:eastAsia="zh-CN"/>
        </w:rPr>
        <w:t>表</w:t>
      </w:r>
      <w:r>
        <w:rPr>
          <w:rFonts w:hint="eastAsia" w:ascii="仿宋" w:hAnsi="仿宋" w:eastAsia="仿宋" w:cs="仿宋"/>
          <w:b/>
          <w:color w:val="auto"/>
          <w:sz w:val="28"/>
          <w:lang w:val="en-US" w:eastAsia="zh-CN"/>
        </w:rPr>
        <w:t xml:space="preserve">8  </w:t>
      </w:r>
      <w:r>
        <w:rPr>
          <w:rFonts w:hint="eastAsia" w:ascii="仿宋" w:hAnsi="仿宋" w:eastAsia="仿宋" w:cs="仿宋"/>
          <w:b/>
          <w:color w:val="auto"/>
          <w:sz w:val="28"/>
        </w:rPr>
        <w:t>安徽省第六届校企合作典型案例、征文获奖</w:t>
      </w:r>
    </w:p>
    <w:tbl>
      <w:tblPr>
        <w:tblStyle w:val="17"/>
        <w:tblW w:w="0" w:type="auto"/>
        <w:tblInd w:w="108" w:type="dxa"/>
        <w:tblLayout w:type="fixed"/>
        <w:tblCellMar>
          <w:top w:w="0" w:type="dxa"/>
          <w:left w:w="0" w:type="dxa"/>
          <w:bottom w:w="0" w:type="dxa"/>
          <w:right w:w="0" w:type="dxa"/>
        </w:tblCellMar>
      </w:tblPr>
      <w:tblGrid>
        <w:gridCol w:w="2566"/>
        <w:gridCol w:w="2675"/>
        <w:gridCol w:w="2805"/>
      </w:tblGrid>
      <w:tr>
        <w:tblPrEx>
          <w:tblCellMar>
            <w:top w:w="0" w:type="dxa"/>
            <w:left w:w="0" w:type="dxa"/>
            <w:bottom w:w="0" w:type="dxa"/>
            <w:right w:w="0" w:type="dxa"/>
          </w:tblCellMar>
        </w:tblPrEx>
        <w:trPr>
          <w:trHeight w:val="283" w:hRule="atLeast"/>
        </w:trPr>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姓名</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参赛项目</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b/>
                <w:color w:val="auto"/>
                <w:sz w:val="21"/>
                <w:szCs w:val="21"/>
              </w:rPr>
            </w:pPr>
            <w:r>
              <w:rPr>
                <w:rFonts w:hint="eastAsia" w:ascii="仿宋" w:hAnsi="仿宋" w:eastAsia="仿宋" w:cs="仿宋"/>
                <w:b/>
                <w:color w:val="auto"/>
                <w:sz w:val="21"/>
                <w:szCs w:val="21"/>
              </w:rPr>
              <w:t>奖项</w:t>
            </w:r>
          </w:p>
        </w:tc>
      </w:tr>
      <w:tr>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倪鹏锐、尹杰</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省级二等奖</w:t>
            </w:r>
          </w:p>
        </w:tc>
      </w:tr>
      <w:tr>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李小龙、李芬</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省级三等奖</w:t>
            </w:r>
          </w:p>
        </w:tc>
      </w:tr>
      <w:tr>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郭义、夏伟、王应许</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省级三等奖</w:t>
            </w:r>
          </w:p>
        </w:tc>
      </w:tr>
      <w:tr>
        <w:tblPrEx>
          <w:tblCellMar>
            <w:top w:w="0" w:type="dxa"/>
            <w:left w:w="0" w:type="dxa"/>
            <w:bottom w:w="0" w:type="dxa"/>
            <w:right w:w="0" w:type="dxa"/>
          </w:tblCellMar>
        </w:tblPrEx>
        <w:tc>
          <w:tcPr>
            <w:tcW w:w="2566"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时本强、郑锦付</w:t>
            </w:r>
          </w:p>
        </w:tc>
        <w:tc>
          <w:tcPr>
            <w:tcW w:w="267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widowControl/>
              <w:jc w:val="center"/>
              <w:rPr>
                <w:rFonts w:hint="eastAsia" w:ascii="仿宋" w:hAnsi="仿宋" w:eastAsia="仿宋" w:cs="仿宋"/>
                <w:color w:val="auto"/>
                <w:sz w:val="21"/>
                <w:szCs w:val="21"/>
              </w:rPr>
            </w:pPr>
            <w:r>
              <w:rPr>
                <w:rFonts w:hint="eastAsia" w:ascii="仿宋" w:hAnsi="仿宋" w:eastAsia="仿宋" w:cs="仿宋"/>
                <w:color w:val="auto"/>
                <w:sz w:val="21"/>
                <w:szCs w:val="21"/>
              </w:rPr>
              <w:t>典型案例</w:t>
            </w:r>
          </w:p>
        </w:tc>
        <w:tc>
          <w:tcPr>
            <w:tcW w:w="280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pPr>
              <w:jc w:val="center"/>
              <w:rPr>
                <w:rFonts w:hint="eastAsia" w:ascii="仿宋" w:hAnsi="仿宋" w:eastAsia="仿宋" w:cs="仿宋"/>
                <w:color w:val="auto"/>
                <w:sz w:val="21"/>
                <w:szCs w:val="21"/>
              </w:rPr>
            </w:pPr>
            <w:r>
              <w:rPr>
                <w:rFonts w:hint="eastAsia" w:ascii="仿宋" w:hAnsi="仿宋" w:eastAsia="仿宋" w:cs="仿宋"/>
                <w:color w:val="auto"/>
                <w:sz w:val="21"/>
                <w:szCs w:val="21"/>
              </w:rPr>
              <w:t>省级三等奖</w:t>
            </w:r>
          </w:p>
        </w:tc>
      </w:tr>
    </w:tbl>
    <w:p>
      <w:pPr>
        <w:pStyle w:val="15"/>
        <w:shd w:val="clear" w:color="auto" w:fill="FFFFFF"/>
        <w:spacing w:before="0" w:beforeAutospacing="0" w:after="0" w:afterAutospacing="0" w:line="360" w:lineRule="auto"/>
        <w:ind w:firstLine="600" w:firstLineChars="200"/>
        <w:jc w:val="both"/>
        <w:rPr>
          <w:rFonts w:hint="eastAsia" w:ascii="仿宋" w:hAnsi="仿宋" w:eastAsia="仿宋" w:cs="仿宋"/>
          <w:kern w:val="2"/>
          <w:sz w:val="30"/>
          <w:szCs w:val="30"/>
        </w:rPr>
      </w:pPr>
      <w:r>
        <w:rPr>
          <w:rFonts w:hint="eastAsia" w:ascii="仿宋" w:hAnsi="仿宋" w:eastAsia="仿宋" w:cs="仿宋"/>
          <w:kern w:val="2"/>
          <w:sz w:val="30"/>
          <w:szCs w:val="30"/>
          <w:lang w:eastAsia="zh-CN"/>
        </w:rPr>
        <w:t>学校</w:t>
      </w:r>
      <w:r>
        <w:rPr>
          <w:rFonts w:hint="eastAsia" w:ascii="仿宋" w:hAnsi="仿宋" w:eastAsia="仿宋" w:cs="仿宋"/>
          <w:kern w:val="2"/>
          <w:sz w:val="30"/>
          <w:szCs w:val="30"/>
        </w:rPr>
        <w:t>认真落实全国职教大会和职业教育法精神，积极推进“1+X”证书制度试点工作，</w:t>
      </w:r>
      <w:r>
        <w:rPr>
          <w:rFonts w:hint="eastAsia" w:ascii="仿宋" w:hAnsi="仿宋" w:eastAsia="仿宋" w:cs="仿宋"/>
          <w:kern w:val="2"/>
          <w:sz w:val="30"/>
          <w:szCs w:val="30"/>
          <w:lang w:val="en-US" w:eastAsia="zh-CN"/>
        </w:rPr>
        <w:t>2023年</w:t>
      </w:r>
      <w:r>
        <w:rPr>
          <w:rFonts w:hint="eastAsia" w:ascii="仿宋" w:hAnsi="仿宋" w:eastAsia="仿宋" w:cs="仿宋"/>
          <w:kern w:val="2"/>
          <w:sz w:val="30"/>
          <w:szCs w:val="30"/>
        </w:rPr>
        <w:t>完成了“酒店运营管理”、“WPS办公应用（初级）、（中级）”、 “Web前端开发”、“网络安全运维”、“服务机器人实施与运维”、 “个税计算”、“幼儿照护”等职业技能等级证书考核工作，共有</w:t>
      </w:r>
      <w:r>
        <w:rPr>
          <w:rFonts w:hint="eastAsia" w:ascii="仿宋" w:hAnsi="仿宋" w:eastAsia="仿宋" w:cs="仿宋"/>
          <w:kern w:val="2"/>
          <w:sz w:val="30"/>
          <w:szCs w:val="30"/>
          <w:lang w:val="en-US" w:eastAsia="zh-CN"/>
        </w:rPr>
        <w:t>1200</w:t>
      </w:r>
      <w:r>
        <w:rPr>
          <w:rFonts w:hint="eastAsia" w:ascii="仿宋" w:hAnsi="仿宋" w:eastAsia="仿宋" w:cs="仿宋"/>
          <w:kern w:val="2"/>
          <w:sz w:val="30"/>
          <w:szCs w:val="30"/>
        </w:rPr>
        <w:t>名学生申报了考核</w:t>
      </w:r>
      <w:r>
        <w:rPr>
          <w:rFonts w:hint="eastAsia" w:ascii="仿宋" w:hAnsi="仿宋" w:eastAsia="仿宋" w:cs="仿宋"/>
          <w:kern w:val="2"/>
          <w:sz w:val="30"/>
          <w:szCs w:val="30"/>
          <w:lang w:eastAsia="zh-CN"/>
        </w:rPr>
        <w:t>，</w:t>
      </w:r>
      <w:r>
        <w:rPr>
          <w:rFonts w:hint="eastAsia" w:ascii="仿宋" w:hAnsi="仿宋" w:eastAsia="仿宋" w:cs="仿宋"/>
          <w:kern w:val="2"/>
          <w:sz w:val="30"/>
          <w:szCs w:val="30"/>
          <w:lang w:val="en-US" w:eastAsia="zh-CN"/>
        </w:rPr>
        <w:t>位列全省前列</w:t>
      </w:r>
      <w:r>
        <w:rPr>
          <w:rFonts w:hint="eastAsia" w:ascii="仿宋" w:hAnsi="仿宋" w:eastAsia="仿宋" w:cs="仿宋"/>
          <w:kern w:val="2"/>
          <w:sz w:val="30"/>
          <w:szCs w:val="30"/>
        </w:rPr>
        <w:t>。</w:t>
      </w:r>
    </w:p>
    <w:p>
      <w:pPr>
        <w:rPr>
          <w:rFonts w:hint="eastAsia"/>
          <w:sz w:val="30"/>
          <w:szCs w:val="30"/>
          <w:lang w:eastAsia="zh-CN"/>
        </w:rPr>
      </w:pPr>
      <w:r>
        <w:rPr>
          <w:rFonts w:hint="eastAsia"/>
          <w:sz w:val="30"/>
          <w:szCs w:val="30"/>
          <w:lang w:eastAsia="zh-CN"/>
        </w:rPr>
        <w:drawing>
          <wp:anchor distT="0" distB="0" distL="114300" distR="114300" simplePos="0" relativeHeight="251662336" behindDoc="0" locked="0" layoutInCell="1" allowOverlap="1">
            <wp:simplePos x="0" y="0"/>
            <wp:positionH relativeFrom="column">
              <wp:posOffset>3286760</wp:posOffset>
            </wp:positionH>
            <wp:positionV relativeFrom="paragraph">
              <wp:posOffset>288290</wp:posOffset>
            </wp:positionV>
            <wp:extent cx="2915920" cy="3082925"/>
            <wp:effectExtent l="0" t="0" r="17780" b="3175"/>
            <wp:wrapSquare wrapText="bothSides"/>
            <wp:docPr id="52" name="图片 52" descr="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004-2"/>
                    <pic:cNvPicPr>
                      <a:picLocks noChangeAspect="1"/>
                    </pic:cNvPicPr>
                  </pic:nvPicPr>
                  <pic:blipFill>
                    <a:blip r:embed="rId24"/>
                    <a:stretch>
                      <a:fillRect/>
                    </a:stretch>
                  </pic:blipFill>
                  <pic:spPr>
                    <a:xfrm>
                      <a:off x="0" y="0"/>
                      <a:ext cx="2915920" cy="3082925"/>
                    </a:xfrm>
                    <a:prstGeom prst="rect">
                      <a:avLst/>
                    </a:prstGeom>
                  </pic:spPr>
                </pic:pic>
              </a:graphicData>
            </a:graphic>
          </wp:anchor>
        </w:drawing>
      </w:r>
      <w:r>
        <w:rPr>
          <w:rFonts w:hint="eastAsia"/>
          <w:sz w:val="30"/>
          <w:szCs w:val="30"/>
          <w:lang w:eastAsia="zh-CN"/>
        </w:rPr>
        <w:drawing>
          <wp:anchor distT="0" distB="0" distL="114300" distR="114300" simplePos="0" relativeHeight="251661312" behindDoc="0" locked="0" layoutInCell="1" allowOverlap="1">
            <wp:simplePos x="0" y="0"/>
            <wp:positionH relativeFrom="column">
              <wp:posOffset>-200025</wp:posOffset>
            </wp:positionH>
            <wp:positionV relativeFrom="paragraph">
              <wp:posOffset>298450</wp:posOffset>
            </wp:positionV>
            <wp:extent cx="3354070" cy="3115945"/>
            <wp:effectExtent l="0" t="0" r="17780" b="8255"/>
            <wp:wrapSquare wrapText="bothSides"/>
            <wp:docPr id="53" name="图片 5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03"/>
                    <pic:cNvPicPr>
                      <a:picLocks noChangeAspect="1"/>
                    </pic:cNvPicPr>
                  </pic:nvPicPr>
                  <pic:blipFill>
                    <a:blip r:embed="rId25"/>
                    <a:stretch>
                      <a:fillRect/>
                    </a:stretch>
                  </pic:blipFill>
                  <pic:spPr>
                    <a:xfrm>
                      <a:off x="0" y="0"/>
                      <a:ext cx="3354070" cy="3115945"/>
                    </a:xfrm>
                    <a:prstGeom prst="rect">
                      <a:avLst/>
                    </a:prstGeom>
                  </pic:spPr>
                </pic:pic>
              </a:graphicData>
            </a:graphic>
          </wp:anchor>
        </w:drawing>
      </w:r>
    </w:p>
    <w:p>
      <w:pPr>
        <w:pStyle w:val="16"/>
        <w:ind w:firstLine="2409" w:firstLineChars="1000"/>
        <w:jc w:val="both"/>
        <w:rPr>
          <w:rFonts w:hint="eastAsia" w:ascii="仿宋" w:hAnsi="仿宋" w:eastAsia="仿宋" w:cs="仿宋"/>
          <w:b/>
          <w:bCs/>
          <w:sz w:val="32"/>
          <w:szCs w:val="32"/>
          <w:lang w:val="en-US" w:eastAsia="zh-CN"/>
        </w:rPr>
      </w:pPr>
      <w:r>
        <w:rPr>
          <w:rFonts w:hint="eastAsia" w:ascii="仿宋" w:hAnsi="仿宋" w:eastAsia="仿宋" w:cs="仿宋"/>
          <w:b/>
          <w:bCs/>
          <w:sz w:val="24"/>
          <w:szCs w:val="24"/>
          <w:lang w:eastAsia="zh-CN"/>
        </w:rPr>
        <w:t>学生参加“</w:t>
      </w:r>
      <w:r>
        <w:rPr>
          <w:rFonts w:hint="eastAsia" w:ascii="仿宋" w:hAnsi="仿宋" w:eastAsia="仿宋" w:cs="仿宋"/>
          <w:b/>
          <w:bCs/>
          <w:sz w:val="24"/>
          <w:szCs w:val="24"/>
          <w:lang w:val="en-US" w:eastAsia="zh-CN"/>
        </w:rPr>
        <w:t>1+x</w:t>
      </w:r>
      <w:r>
        <w:rPr>
          <w:rFonts w:hint="eastAsia" w:ascii="仿宋" w:hAnsi="仿宋" w:eastAsia="仿宋" w:cs="仿宋"/>
          <w:b/>
          <w:bCs/>
          <w:sz w:val="24"/>
          <w:szCs w:val="24"/>
          <w:lang w:eastAsia="zh-CN"/>
        </w:rPr>
        <w:t>”证书考核</w:t>
      </w:r>
    </w:p>
    <w:p>
      <w:pPr>
        <w:ind w:firstLine="602" w:firstLineChars="200"/>
        <w:outlineLvl w:val="1"/>
        <w:rPr>
          <w:rFonts w:hint="eastAsia" w:ascii="仿宋" w:hAnsi="仿宋" w:eastAsia="仿宋" w:cs="仿宋"/>
          <w:b/>
          <w:bCs/>
          <w:sz w:val="30"/>
          <w:szCs w:val="30"/>
          <w:lang w:val="en-US" w:eastAsia="zh-CN"/>
        </w:rPr>
      </w:pPr>
      <w:bookmarkStart w:id="27" w:name="_Toc7002"/>
      <w:r>
        <w:rPr>
          <w:rFonts w:hint="eastAsia" w:ascii="仿宋" w:hAnsi="仿宋" w:eastAsia="仿宋" w:cs="仿宋"/>
          <w:b/>
          <w:bCs/>
          <w:sz w:val="30"/>
          <w:szCs w:val="30"/>
          <w:lang w:val="en-US" w:eastAsia="zh-CN"/>
        </w:rPr>
        <w:t>5.2校企共建资源</w:t>
      </w:r>
      <w:bookmarkEnd w:id="27"/>
    </w:p>
    <w:p>
      <w:pPr>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 xml:space="preserve">   学校与阜合产业园区人事劳动和应急管理局、经贸局对接，深入园区优秀企业一线工作岗位开展调研，了解岗位需求、人才需求，探讨校企合作育人方式，完善人才需求调研报告，为学校深入改革、高质量发展奠定基础。同时学校积极与</w:t>
      </w:r>
      <w:r>
        <w:rPr>
          <w:rFonts w:hint="eastAsia" w:ascii="仿宋" w:hAnsi="仿宋" w:eastAsia="仿宋" w:cs="仿宋"/>
          <w:sz w:val="30"/>
          <w:szCs w:val="30"/>
        </w:rPr>
        <w:t>企业</w:t>
      </w:r>
      <w:r>
        <w:rPr>
          <w:rFonts w:hint="eastAsia" w:ascii="仿宋" w:hAnsi="仿宋" w:eastAsia="仿宋" w:cs="仿宋"/>
          <w:sz w:val="30"/>
          <w:szCs w:val="30"/>
          <w:lang w:val="en-US" w:eastAsia="zh-CN"/>
        </w:rPr>
        <w:t>对接，利用企业的信息优势、技术优势和设备优势开展“订单班”、“冠名班”教学。</w:t>
      </w:r>
    </w:p>
    <w:p>
      <w:pPr>
        <w:ind w:firstLine="600" w:firstLineChars="200"/>
        <w:rPr>
          <w:rFonts w:hint="eastAsia" w:ascii="仿宋" w:hAnsi="仿宋" w:eastAsia="仿宋" w:cs="仿宋"/>
          <w:b/>
          <w:bCs/>
          <w:color w:val="000000" w:themeColor="text1"/>
          <w:sz w:val="30"/>
          <w:szCs w:val="30"/>
          <w:lang w:val="en-US" w:eastAsia="zh-CN"/>
        </w:rPr>
      </w:pPr>
      <w:r>
        <w:rPr>
          <w:rFonts w:hint="eastAsia" w:ascii="仿宋" w:hAnsi="仿宋" w:eastAsia="仿宋" w:cs="仿宋"/>
          <w:b w:val="0"/>
          <w:bCs/>
          <w:sz w:val="30"/>
          <w:szCs w:val="30"/>
          <w:lang w:val="en-US" w:eastAsia="zh-CN"/>
        </w:rPr>
        <w:t>学校邀请</w:t>
      </w:r>
      <w:r>
        <w:rPr>
          <w:rFonts w:hint="eastAsia" w:ascii="仿宋" w:hAnsi="仿宋" w:eastAsia="仿宋" w:cs="仿宋"/>
          <w:b w:val="0"/>
          <w:bCs/>
          <w:sz w:val="30"/>
          <w:szCs w:val="30"/>
        </w:rPr>
        <w:t>合肥长安汽车有限公司、阜阳市兴业财务管理有限公司</w:t>
      </w:r>
      <w:r>
        <w:rPr>
          <w:rFonts w:hint="eastAsia" w:ascii="仿宋" w:hAnsi="仿宋" w:eastAsia="仿宋" w:cs="仿宋"/>
          <w:b w:val="0"/>
          <w:bCs/>
          <w:sz w:val="30"/>
          <w:szCs w:val="30"/>
          <w:lang w:val="en-US" w:eastAsia="zh-CN"/>
        </w:rPr>
        <w:t>等合作企业</w:t>
      </w:r>
      <w:r>
        <w:rPr>
          <w:rFonts w:hint="eastAsia" w:ascii="仿宋" w:hAnsi="仿宋" w:eastAsia="仿宋" w:cs="仿宋"/>
          <w:b w:val="0"/>
          <w:bCs/>
          <w:sz w:val="30"/>
          <w:szCs w:val="30"/>
        </w:rPr>
        <w:t>技能大师</w:t>
      </w:r>
      <w:r>
        <w:rPr>
          <w:rFonts w:hint="eastAsia" w:ascii="仿宋" w:hAnsi="仿宋" w:eastAsia="仿宋" w:cs="仿宋"/>
          <w:b w:val="0"/>
          <w:bCs/>
          <w:sz w:val="30"/>
          <w:szCs w:val="30"/>
          <w:lang w:val="en-US" w:eastAsia="zh-CN"/>
        </w:rPr>
        <w:t>来校开展</w:t>
      </w:r>
      <w:r>
        <w:rPr>
          <w:rFonts w:hint="eastAsia" w:ascii="仿宋" w:hAnsi="仿宋" w:eastAsia="仿宋" w:cs="仿宋"/>
          <w:b w:val="0"/>
          <w:bCs/>
          <w:sz w:val="30"/>
          <w:szCs w:val="30"/>
        </w:rPr>
        <w:t>职业指导</w:t>
      </w:r>
      <w:r>
        <w:rPr>
          <w:rFonts w:hint="eastAsia" w:ascii="仿宋" w:hAnsi="仿宋" w:eastAsia="仿宋" w:cs="仿宋"/>
          <w:b w:val="0"/>
          <w:bCs/>
          <w:sz w:val="30"/>
          <w:szCs w:val="30"/>
          <w:lang w:eastAsia="zh-CN"/>
        </w:rPr>
        <w:t>、</w:t>
      </w:r>
      <w:r>
        <w:rPr>
          <w:rFonts w:hint="eastAsia" w:ascii="仿宋" w:hAnsi="仿宋" w:eastAsia="仿宋" w:cs="仿宋"/>
          <w:b w:val="0"/>
          <w:bCs/>
          <w:sz w:val="30"/>
          <w:szCs w:val="30"/>
        </w:rPr>
        <w:t>专业技能</w:t>
      </w:r>
      <w:r>
        <w:rPr>
          <w:rFonts w:hint="eastAsia" w:ascii="仿宋" w:hAnsi="仿宋" w:eastAsia="仿宋" w:cs="仿宋"/>
          <w:b w:val="0"/>
          <w:bCs/>
          <w:sz w:val="30"/>
          <w:szCs w:val="30"/>
          <w:lang w:val="en-US" w:eastAsia="zh-CN"/>
        </w:rPr>
        <w:t>培训。校内汽修专业稳步落实与阜阳长城驾校、阜阳宝利盛宝马有限公司的合作，带领学生深入实地开展“理实一体化”教学，强化学生专业技能学习。</w:t>
      </w:r>
    </w:p>
    <w:p>
      <w:pPr>
        <w:pStyle w:val="54"/>
        <w:widowControl w:val="0"/>
        <w:autoSpaceDE w:val="0"/>
        <w:autoSpaceDN w:val="0"/>
        <w:adjustRightInd w:val="0"/>
        <w:spacing w:before="0" w:after="0" w:line="360" w:lineRule="exact"/>
        <w:ind w:firstLine="148" w:firstLineChars="49"/>
        <w:jc w:val="center"/>
        <w:outlineLvl w:val="0"/>
        <w:rPr>
          <w:rFonts w:hint="eastAsia" w:ascii="仿宋" w:hAnsi="仿宋" w:eastAsia="仿宋" w:cs="仿宋"/>
          <w:b/>
          <w:bCs/>
          <w:color w:val="000000" w:themeColor="text1"/>
          <w:sz w:val="30"/>
          <w:szCs w:val="30"/>
          <w:lang w:eastAsia="zh-CN"/>
        </w:rPr>
      </w:pPr>
      <w:bookmarkStart w:id="28" w:name="_Toc14756"/>
      <w:r>
        <w:rPr>
          <w:rFonts w:hint="eastAsia" w:ascii="仿宋" w:hAnsi="仿宋" w:eastAsia="仿宋" w:cs="仿宋"/>
          <w:b/>
          <w:bCs/>
          <w:color w:val="000000" w:themeColor="text1"/>
          <w:sz w:val="30"/>
          <w:szCs w:val="30"/>
          <w:lang w:val="en-US" w:eastAsia="zh-CN"/>
        </w:rPr>
        <w:t xml:space="preserve">  案例9.</w:t>
      </w:r>
      <w:r>
        <w:rPr>
          <w:rFonts w:hint="eastAsia" w:ascii="仿宋" w:hAnsi="仿宋" w:eastAsia="仿宋" w:cs="仿宋"/>
          <w:b/>
          <w:bCs/>
          <w:color w:val="000000" w:themeColor="text1"/>
          <w:sz w:val="30"/>
          <w:szCs w:val="30"/>
          <w:lang w:eastAsia="zh-CN"/>
        </w:rPr>
        <w:t>双元合作</w:t>
      </w:r>
      <w:r>
        <w:rPr>
          <w:rFonts w:hint="eastAsia" w:ascii="仿宋" w:hAnsi="仿宋" w:eastAsia="仿宋" w:cs="仿宋"/>
          <w:b/>
          <w:bCs/>
          <w:color w:val="000000" w:themeColor="text1"/>
          <w:sz w:val="30"/>
          <w:szCs w:val="30"/>
          <w:lang w:val="en-US" w:eastAsia="zh-CN"/>
        </w:rPr>
        <w:t xml:space="preserve"> </w:t>
      </w:r>
      <w:r>
        <w:rPr>
          <w:rFonts w:hint="eastAsia" w:ascii="仿宋" w:hAnsi="仿宋" w:eastAsia="仿宋" w:cs="仿宋"/>
          <w:b/>
          <w:bCs/>
          <w:color w:val="000000" w:themeColor="text1"/>
          <w:sz w:val="30"/>
          <w:szCs w:val="30"/>
          <w:lang w:eastAsia="zh-CN"/>
        </w:rPr>
        <w:t>共育良才----以汽车运用与维修专业为例</w:t>
      </w:r>
      <w:bookmarkEnd w:id="28"/>
    </w:p>
    <w:p>
      <w:pPr>
        <w:spacing w:line="360" w:lineRule="auto"/>
        <w:ind w:firstLine="600" w:firstLineChars="200"/>
        <w:outlineLvl w:val="9"/>
        <w:rPr>
          <w:rFonts w:hint="eastAsia" w:ascii="仿宋" w:hAnsi="仿宋" w:eastAsia="仿宋" w:cs="仿宋"/>
          <w:sz w:val="30"/>
          <w:szCs w:val="30"/>
          <w:lang w:eastAsia="zh-CN"/>
        </w:rPr>
      </w:pPr>
      <w:r>
        <w:rPr>
          <w:rFonts w:hint="eastAsia" w:ascii="仿宋" w:hAnsi="仿宋" w:eastAsia="仿宋" w:cs="仿宋"/>
          <w:sz w:val="30"/>
          <w:szCs w:val="30"/>
        </w:rPr>
        <w:t>汽车运用与维修专业设立于2007年，为了适应当今市场对技能型汽车人才的迫切需求，我们不断思考摸索，寻求与企业的交流、合作，积极探索创新“校企合作”之路。学校开始与中德诺浩（北京）教育投资有限公司正式展开合作，开办“中德诺浩班”。实施德国“双元制”职业教育的培养模式，通过引进企业先进的职业教育理念，为企业培养具有汽车维修中级技术操作能力的综合型技能人才。</w:t>
      </w:r>
      <w:r>
        <w:rPr>
          <w:rFonts w:hint="eastAsia" w:ascii="仿宋" w:hAnsi="仿宋" w:eastAsia="仿宋" w:cs="仿宋"/>
          <w:sz w:val="30"/>
          <w:szCs w:val="30"/>
          <w:lang w:eastAsia="zh-CN"/>
        </w:rPr>
        <w:t>通过改革</w:t>
      </w:r>
      <w:r>
        <w:rPr>
          <w:rFonts w:hint="eastAsia" w:ascii="仿宋" w:hAnsi="仿宋" w:eastAsia="仿宋" w:cs="仿宋"/>
          <w:sz w:val="30"/>
          <w:szCs w:val="30"/>
        </w:rPr>
        <w:t>培养模式</w:t>
      </w:r>
      <w:r>
        <w:rPr>
          <w:rFonts w:hint="eastAsia" w:ascii="仿宋" w:hAnsi="仿宋" w:eastAsia="仿宋" w:cs="仿宋"/>
          <w:sz w:val="30"/>
          <w:szCs w:val="30"/>
          <w:lang w:eastAsia="zh-CN"/>
        </w:rPr>
        <w:t>、</w:t>
      </w:r>
      <w:r>
        <w:rPr>
          <w:rFonts w:hint="eastAsia" w:ascii="仿宋" w:hAnsi="仿宋" w:eastAsia="仿宋" w:cs="仿宋"/>
          <w:sz w:val="30"/>
          <w:szCs w:val="30"/>
        </w:rPr>
        <w:t>创新课程体系</w:t>
      </w:r>
      <w:r>
        <w:rPr>
          <w:rFonts w:hint="eastAsia" w:ascii="仿宋" w:hAnsi="仿宋" w:eastAsia="仿宋" w:cs="仿宋"/>
          <w:sz w:val="30"/>
          <w:szCs w:val="30"/>
          <w:lang w:eastAsia="zh-CN"/>
        </w:rPr>
        <w:t>、</w:t>
      </w:r>
      <w:r>
        <w:rPr>
          <w:rFonts w:hint="eastAsia" w:ascii="仿宋" w:hAnsi="仿宋" w:eastAsia="仿宋" w:cs="仿宋"/>
          <w:color w:val="000000"/>
          <w:sz w:val="30"/>
          <w:szCs w:val="30"/>
          <w:lang w:eastAsia="zh-CN"/>
        </w:rPr>
        <w:t>改革教学模式、提升教师素质等途径，有效提高了专业教学质量。经过合作，目前在</w:t>
      </w:r>
      <w:r>
        <w:rPr>
          <w:rFonts w:hint="eastAsia" w:ascii="仿宋" w:hAnsi="仿宋" w:eastAsia="仿宋" w:cs="仿宋"/>
          <w:sz w:val="30"/>
          <w:szCs w:val="30"/>
        </w:rPr>
        <w:t>技能证考核方面</w:t>
      </w:r>
      <w:r>
        <w:rPr>
          <w:rFonts w:hint="eastAsia" w:ascii="仿宋" w:hAnsi="仿宋" w:eastAsia="仿宋" w:cs="仿宋"/>
          <w:sz w:val="30"/>
          <w:szCs w:val="30"/>
          <w:lang w:eastAsia="zh-CN"/>
        </w:rPr>
        <w:t>、</w:t>
      </w:r>
      <w:r>
        <w:rPr>
          <w:rFonts w:hint="eastAsia" w:ascii="仿宋" w:hAnsi="仿宋" w:eastAsia="仿宋" w:cs="仿宋"/>
          <w:sz w:val="30"/>
          <w:szCs w:val="30"/>
        </w:rPr>
        <w:t>就业方面</w:t>
      </w:r>
      <w:r>
        <w:rPr>
          <w:rFonts w:hint="eastAsia" w:ascii="仿宋" w:hAnsi="仿宋" w:eastAsia="仿宋" w:cs="仿宋"/>
          <w:sz w:val="30"/>
          <w:szCs w:val="30"/>
          <w:lang w:eastAsia="zh-CN"/>
        </w:rPr>
        <w:t>、</w:t>
      </w:r>
      <w:r>
        <w:rPr>
          <w:rFonts w:hint="eastAsia" w:ascii="仿宋" w:hAnsi="仿宋" w:eastAsia="仿宋" w:cs="仿宋"/>
          <w:sz w:val="30"/>
          <w:szCs w:val="30"/>
        </w:rPr>
        <w:t>师资培养方面</w:t>
      </w:r>
      <w:r>
        <w:rPr>
          <w:rFonts w:hint="eastAsia" w:ascii="仿宋" w:hAnsi="仿宋" w:eastAsia="仿宋" w:cs="仿宋"/>
          <w:sz w:val="30"/>
          <w:szCs w:val="30"/>
          <w:lang w:eastAsia="zh-CN"/>
        </w:rPr>
        <w:t>均取得了良好效果。</w:t>
      </w:r>
    </w:p>
    <w:p>
      <w:pPr>
        <w:pStyle w:val="55"/>
        <w:keepNext w:val="0"/>
        <w:keepLines w:val="0"/>
        <w:pageBreakBefore w:val="0"/>
        <w:widowControl/>
        <w:kinsoku/>
        <w:wordWrap/>
        <w:overflowPunct/>
        <w:topLinePunct w:val="0"/>
        <w:autoSpaceDE/>
        <w:autoSpaceDN/>
        <w:bidi w:val="0"/>
        <w:adjustRightInd w:val="0"/>
        <w:snapToGrid w:val="0"/>
        <w:spacing w:before="0" w:beforeLines="0"/>
        <w:ind w:firstLine="602" w:firstLineChars="200"/>
        <w:jc w:val="left"/>
        <w:textAlignment w:val="auto"/>
        <w:outlineLvl w:val="2"/>
        <w:rPr>
          <w:rFonts w:hint="eastAsia" w:ascii="仿宋" w:hAnsi="仿宋" w:eastAsia="仿宋" w:cs="仿宋"/>
          <w:b/>
          <w:color w:val="000000" w:themeColor="text1"/>
          <w:sz w:val="30"/>
          <w:szCs w:val="30"/>
        </w:rPr>
      </w:pPr>
      <w:bookmarkStart w:id="29" w:name="_Toc453"/>
      <w:r>
        <w:rPr>
          <w:rFonts w:hint="eastAsia" w:ascii="仿宋" w:hAnsi="仿宋" w:eastAsia="仿宋" w:cs="仿宋"/>
          <w:b/>
          <w:bCs/>
          <w:color w:val="000000" w:themeColor="text1"/>
          <w:sz w:val="30"/>
          <w:szCs w:val="30"/>
          <w:lang w:val="en-US" w:eastAsia="zh-CN"/>
        </w:rPr>
        <w:t>案例10.</w:t>
      </w:r>
      <w:r>
        <w:rPr>
          <w:rFonts w:hint="eastAsia" w:ascii="仿宋" w:hAnsi="仿宋" w:eastAsia="仿宋" w:cs="仿宋"/>
          <w:b/>
          <w:color w:val="000000" w:themeColor="text1"/>
          <w:sz w:val="30"/>
          <w:szCs w:val="30"/>
          <w:lang w:val="zh-CN"/>
        </w:rPr>
        <w:t>校企合作</w:t>
      </w:r>
      <w:r>
        <w:rPr>
          <w:rFonts w:hint="eastAsia" w:ascii="仿宋" w:hAnsi="仿宋" w:eastAsia="仿宋" w:cs="仿宋"/>
          <w:b/>
          <w:color w:val="000000" w:themeColor="text1"/>
          <w:sz w:val="30"/>
          <w:szCs w:val="30"/>
        </w:rPr>
        <w:t>由“一头热”到“两相许”的探索---以会计电算化专业校企合作为例</w:t>
      </w:r>
      <w:bookmarkEnd w:id="29"/>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outlineLvl w:val="9"/>
        <w:rPr>
          <w:rFonts w:hint="default" w:ascii="仿宋" w:hAnsi="仿宋" w:eastAsia="仿宋" w:cs="仿宋"/>
          <w:color w:val="000000"/>
          <w:sz w:val="30"/>
          <w:szCs w:val="30"/>
          <w:lang w:val="en-US" w:eastAsia="zh-CN"/>
        </w:rPr>
      </w:pPr>
      <w:r>
        <w:rPr>
          <w:rFonts w:hint="eastAsia" w:ascii="仿宋" w:hAnsi="仿宋" w:eastAsia="仿宋" w:cs="仿宋"/>
          <w:color w:val="000000"/>
          <w:sz w:val="30"/>
          <w:szCs w:val="30"/>
        </w:rPr>
        <w:t>职业教育的校企合作</w:t>
      </w:r>
      <w:r>
        <w:rPr>
          <w:rFonts w:hint="eastAsia" w:ascii="仿宋" w:hAnsi="仿宋" w:eastAsia="仿宋" w:cs="仿宋"/>
          <w:sz w:val="30"/>
          <w:szCs w:val="30"/>
        </w:rPr>
        <w:t>中，一直存在着企业参与校企合作积极性不高、参与程度不深、“一头热”、“两张皮”等问题。我校会计电算化专业采取了一系列的办法深化校企合作，有效解决了这些问题。</w:t>
      </w:r>
      <w:r>
        <w:rPr>
          <w:rFonts w:hint="eastAsia" w:ascii="仿宋" w:hAnsi="仿宋" w:eastAsia="仿宋" w:cs="仿宋"/>
          <w:sz w:val="30"/>
          <w:szCs w:val="30"/>
          <w:lang w:eastAsia="zh-CN"/>
        </w:rPr>
        <w:t>主要做法有：</w:t>
      </w:r>
      <w:r>
        <w:rPr>
          <w:rFonts w:hint="eastAsia" w:ascii="仿宋" w:hAnsi="仿宋" w:eastAsia="仿宋" w:cs="仿宋"/>
          <w:color w:val="000000"/>
          <w:sz w:val="30"/>
          <w:szCs w:val="30"/>
        </w:rPr>
        <w:t>1.寻找并筛选优秀的企业作为合作伙伴</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经过认真调研与筛选，我们在阜阳当地选定了具备一定实力，合作意愿强烈，财务工作集中且繁重的几家企业作为合作伙伴，如安徽正诚会计师事务所等，目前和几家企业合作推进状况良好。2.合作企业参与学校专业建设的全过程</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合作企业对专业建设的全程参与，让学校教育更贴合企业实际操作的需求，使学校的教学更具针对性和有效性。3.共建教学资源</w:t>
      </w:r>
      <w:r>
        <w:rPr>
          <w:rFonts w:hint="eastAsia" w:ascii="仿宋" w:hAnsi="仿宋" w:eastAsia="仿宋" w:cs="仿宋"/>
          <w:color w:val="000000"/>
          <w:sz w:val="30"/>
          <w:szCs w:val="30"/>
          <w:lang w:eastAsia="zh-CN"/>
        </w:rPr>
        <w:t>。</w:t>
      </w:r>
      <w:r>
        <w:rPr>
          <w:rFonts w:hint="eastAsia" w:ascii="仿宋" w:hAnsi="仿宋" w:eastAsia="仿宋" w:cs="仿宋"/>
          <w:color w:val="000000"/>
          <w:sz w:val="30"/>
          <w:szCs w:val="30"/>
        </w:rPr>
        <w:t>我校会计电算化专业对现有合作企业进行认真考察、筛选，最终确定与代理业务范围广泛、代理企业数量较大的、我校2012年收购部分股份的一家代理记账机构，合作开发了《真账实做》图集与账簿资料；与擅长税务软件研究的税友集团，合作开发了增值税专用发票开具和增值税一般纳税人纳税申报实训软件。</w:t>
      </w:r>
      <w:r>
        <w:rPr>
          <w:rFonts w:hint="eastAsia" w:ascii="仿宋" w:hAnsi="仿宋" w:eastAsia="仿宋" w:cs="仿宋"/>
          <w:color w:val="000000"/>
          <w:sz w:val="30"/>
          <w:szCs w:val="30"/>
          <w:lang w:eastAsia="zh-CN"/>
        </w:rPr>
        <w:t>主要成效：</w:t>
      </w:r>
      <w:r>
        <w:rPr>
          <w:rFonts w:hint="eastAsia" w:ascii="仿宋" w:hAnsi="仿宋" w:eastAsia="仿宋" w:cs="仿宋"/>
          <w:color w:val="000000"/>
          <w:sz w:val="30"/>
          <w:szCs w:val="30"/>
          <w:lang w:val="en-US" w:eastAsia="zh-CN"/>
        </w:rPr>
        <w:t>1.</w:t>
      </w:r>
      <w:r>
        <w:rPr>
          <w:rFonts w:hint="eastAsia" w:ascii="仿宋" w:hAnsi="仿宋" w:eastAsia="仿宋" w:cs="仿宋"/>
          <w:color w:val="000000"/>
          <w:sz w:val="30"/>
          <w:szCs w:val="30"/>
        </w:rPr>
        <w:t>合作开发完成的《真账实做》图集、税务实训软件，首期运用到我校会计电算化专业教师和学生的实习实训中。通过本轮实训，提高了师生的动手能力，解决了原有学校理论教学与企业实际工作存在脱节的问题。</w:t>
      </w:r>
      <w:r>
        <w:rPr>
          <w:rFonts w:hint="eastAsia" w:ascii="仿宋" w:hAnsi="仿宋" w:eastAsia="仿宋" w:cs="仿宋"/>
          <w:color w:val="000000"/>
          <w:sz w:val="30"/>
          <w:szCs w:val="30"/>
          <w:lang w:val="en-US" w:eastAsia="zh-CN"/>
        </w:rPr>
        <w:t>2.</w:t>
      </w:r>
      <w:r>
        <w:rPr>
          <w:rFonts w:hint="eastAsia" w:ascii="仿宋" w:hAnsi="仿宋" w:eastAsia="仿宋" w:cs="仿宋"/>
          <w:color w:val="000000"/>
          <w:sz w:val="30"/>
          <w:szCs w:val="30"/>
        </w:rPr>
        <w:t>通过结对帮扶、技能传承、开展社会培训等形式，先后为企业培养了24名技术骨干，其中8人取得初级会计师资格，2人取得会计师资格</w:t>
      </w:r>
    </w:p>
    <w:p>
      <w:pPr>
        <w:pStyle w:val="55"/>
        <w:ind w:firstLine="0" w:firstLineChars="0"/>
        <w:jc w:val="center"/>
        <w:outlineLvl w:val="2"/>
        <w:rPr>
          <w:rFonts w:hint="eastAsia" w:ascii="仿宋" w:hAnsi="仿宋" w:eastAsia="仿宋" w:cs="仿宋"/>
          <w:b/>
          <w:color w:val="000000" w:themeColor="text1"/>
          <w:sz w:val="30"/>
          <w:szCs w:val="30"/>
          <w:lang w:val="en-US" w:eastAsia="zh-CN"/>
        </w:rPr>
      </w:pPr>
      <w:r>
        <w:rPr>
          <w:rFonts w:hint="eastAsia" w:ascii="仿宋" w:hAnsi="仿宋" w:eastAsia="仿宋" w:cs="仿宋"/>
          <w:b/>
          <w:bCs/>
          <w:color w:val="000000" w:themeColor="text1"/>
          <w:sz w:val="30"/>
          <w:szCs w:val="30"/>
          <w:lang w:val="en-US" w:eastAsia="zh-CN"/>
        </w:rPr>
        <w:t xml:space="preserve">   </w:t>
      </w:r>
      <w:bookmarkStart w:id="30" w:name="_Toc24472"/>
      <w:r>
        <w:rPr>
          <w:rFonts w:hint="eastAsia" w:ascii="仿宋" w:hAnsi="仿宋" w:eastAsia="仿宋" w:cs="仿宋"/>
          <w:b/>
          <w:bCs/>
          <w:color w:val="000000" w:themeColor="text1"/>
          <w:sz w:val="30"/>
          <w:szCs w:val="30"/>
          <w:lang w:val="en-US" w:eastAsia="zh-CN"/>
        </w:rPr>
        <w:t>案例11.</w:t>
      </w:r>
      <w:r>
        <w:rPr>
          <w:rFonts w:hint="eastAsia" w:ascii="仿宋" w:hAnsi="仿宋" w:eastAsia="仿宋" w:cs="仿宋"/>
          <w:b/>
          <w:color w:val="000000" w:themeColor="text1"/>
          <w:sz w:val="30"/>
          <w:szCs w:val="30"/>
          <w:lang w:val="en-US" w:eastAsia="zh-CN"/>
        </w:rPr>
        <w:t>基于“校企合作三级实践能力阶梯化培养平台”的高技能人才培养模式创新与实践——以数控技术应用专业为例</w:t>
      </w:r>
      <w:bookmarkEnd w:id="30"/>
    </w:p>
    <w:p>
      <w:pPr>
        <w:pStyle w:val="6"/>
        <w:spacing w:line="343" w:lineRule="auto"/>
        <w:ind w:right="115" w:firstLine="480"/>
        <w:outlineLvl w:val="9"/>
        <w:rPr>
          <w:rFonts w:hint="default" w:ascii="仿宋" w:hAnsi="仿宋" w:eastAsia="仿宋" w:cs="仿宋"/>
          <w:b/>
          <w:bCs/>
          <w:sz w:val="32"/>
          <w:szCs w:val="32"/>
          <w:lang w:val="en-US" w:eastAsia="zh-CN"/>
        </w:rPr>
      </w:pPr>
      <w:r>
        <w:rPr>
          <w:rFonts w:hint="eastAsia" w:ascii="仿宋" w:hAnsi="仿宋" w:eastAsia="仿宋" w:cs="仿宋"/>
          <w:spacing w:val="-6"/>
          <w:sz w:val="30"/>
          <w:szCs w:val="30"/>
        </w:rPr>
        <w:t>学校</w:t>
      </w:r>
      <w:r>
        <w:rPr>
          <w:rFonts w:hint="eastAsia" w:ascii="仿宋" w:hAnsi="仿宋" w:eastAsia="仿宋" w:cs="仿宋"/>
          <w:spacing w:val="-9"/>
          <w:sz w:val="30"/>
          <w:szCs w:val="30"/>
        </w:rPr>
        <w:t>通过</w:t>
      </w:r>
      <w:r>
        <w:rPr>
          <w:rFonts w:hint="eastAsia" w:ascii="仿宋" w:hAnsi="仿宋" w:eastAsia="仿宋" w:cs="仿宋"/>
          <w:sz w:val="30"/>
          <w:szCs w:val="30"/>
        </w:rPr>
        <w:t>构建机械专业“三级实践能力阶梯化培养平台”来实现机械专业高技能人才的培养</w:t>
      </w:r>
      <w:r>
        <w:rPr>
          <w:rFonts w:hint="eastAsia" w:ascii="仿宋" w:hAnsi="仿宋" w:eastAsia="仿宋" w:cs="仿宋"/>
          <w:sz w:val="30"/>
          <w:szCs w:val="30"/>
          <w:lang w:eastAsia="zh-CN"/>
        </w:rPr>
        <w:t>。主要做法</w:t>
      </w:r>
      <w:r>
        <w:rPr>
          <w:rFonts w:hint="eastAsia" w:ascii="仿宋" w:hAnsi="仿宋" w:eastAsia="仿宋" w:cs="仿宋"/>
          <w:sz w:val="30"/>
          <w:szCs w:val="30"/>
          <w:lang w:val="en-US" w:eastAsia="zh-CN"/>
        </w:rPr>
        <w:t>:1.</w:t>
      </w:r>
      <w:r>
        <w:rPr>
          <w:rFonts w:hint="eastAsia" w:ascii="仿宋" w:hAnsi="仿宋" w:eastAsia="仿宋" w:cs="仿宋"/>
          <w:sz w:val="30"/>
          <w:szCs w:val="30"/>
        </w:rPr>
        <w:t>搭建</w:t>
      </w:r>
      <w:r>
        <w:rPr>
          <w:rFonts w:hint="eastAsia" w:ascii="仿宋" w:hAnsi="仿宋" w:eastAsia="仿宋" w:cs="仿宋"/>
          <w:sz w:val="30"/>
          <w:szCs w:val="30"/>
          <w:lang w:eastAsia="zh-CN"/>
        </w:rPr>
        <w:t>校企合作</w:t>
      </w:r>
      <w:r>
        <w:rPr>
          <w:rFonts w:hint="eastAsia" w:ascii="仿宋" w:hAnsi="仿宋" w:eastAsia="仿宋" w:cs="仿宋"/>
          <w:sz w:val="30"/>
          <w:szCs w:val="30"/>
        </w:rPr>
        <w:t>三级实践能力阶梯化培养平台，创设实际工作情景，实现机械设计与制造能力的培养</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1)</w:t>
      </w:r>
      <w:r>
        <w:rPr>
          <w:rFonts w:hint="eastAsia" w:ascii="仿宋" w:hAnsi="仿宋" w:eastAsia="仿宋" w:cs="仿宋"/>
          <w:spacing w:val="-1"/>
          <w:sz w:val="30"/>
          <w:szCs w:val="30"/>
        </w:rPr>
        <w:t>建立“基本技能平台”多功能学习工作站，夯实专业基础知识和基本技能。</w:t>
      </w:r>
      <w:r>
        <w:rPr>
          <w:rFonts w:hint="eastAsia" w:ascii="仿宋" w:hAnsi="仿宋" w:eastAsia="仿宋" w:cs="仿宋"/>
          <w:spacing w:val="-1"/>
          <w:sz w:val="30"/>
          <w:szCs w:val="30"/>
          <w:lang w:val="en-US" w:eastAsia="zh-CN"/>
        </w:rPr>
        <w:t>2)</w:t>
      </w:r>
      <w:r>
        <w:rPr>
          <w:rFonts w:hint="eastAsia" w:ascii="仿宋" w:hAnsi="仿宋" w:eastAsia="仿宋" w:cs="仿宋"/>
          <w:sz w:val="30"/>
          <w:szCs w:val="30"/>
        </w:rPr>
        <w:t>引入品牌企业，按照“五定五共同”的校企合作运行模式，共建“技能拔高平</w:t>
      </w:r>
      <w:r>
        <w:rPr>
          <w:rFonts w:hint="eastAsia" w:ascii="仿宋" w:hAnsi="仿宋" w:eastAsia="仿宋" w:cs="仿宋"/>
          <w:spacing w:val="-1"/>
          <w:sz w:val="30"/>
          <w:szCs w:val="30"/>
        </w:rPr>
        <w:t>台”，实现现代化机械零部件设计与制造专向能力培养。</w:t>
      </w: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创建“拓展创新平台”，让学生亲历现代化特殊零部件的设计与制造过程，培养</w:t>
      </w:r>
      <w:r>
        <w:rPr>
          <w:rFonts w:hint="eastAsia" w:ascii="仿宋" w:hAnsi="仿宋" w:eastAsia="仿宋" w:cs="仿宋"/>
          <w:sz w:val="30"/>
          <w:szCs w:val="30"/>
        </w:rPr>
        <w:t>学生综合能力。</w:t>
      </w:r>
      <w:r>
        <w:rPr>
          <w:rFonts w:hint="eastAsia" w:ascii="仿宋" w:hAnsi="仿宋" w:eastAsia="仿宋" w:cs="仿宋"/>
          <w:sz w:val="30"/>
          <w:szCs w:val="30"/>
          <w:lang w:val="en-US" w:eastAsia="zh-CN"/>
        </w:rPr>
        <w:t>2.</w:t>
      </w:r>
      <w:r>
        <w:rPr>
          <w:rFonts w:hint="eastAsia" w:ascii="仿宋" w:hAnsi="仿宋" w:eastAsia="仿宋" w:cs="仿宋"/>
          <w:sz w:val="30"/>
          <w:szCs w:val="30"/>
        </w:rPr>
        <w:t>构建以机械设计与制造为核心内容的三级课程与教学运行体系，实现高技能人才专精能力和综合能力培养。</w:t>
      </w:r>
      <w:r>
        <w:rPr>
          <w:rFonts w:hint="eastAsia" w:ascii="仿宋" w:hAnsi="仿宋" w:eastAsia="仿宋" w:cs="仿宋"/>
          <w:sz w:val="30"/>
          <w:szCs w:val="30"/>
          <w:lang w:val="en-US" w:eastAsia="zh-CN"/>
        </w:rPr>
        <w:t>1)</w:t>
      </w:r>
      <w:r>
        <w:rPr>
          <w:rFonts w:hint="eastAsia" w:ascii="仿宋" w:hAnsi="仿宋" w:eastAsia="仿宋" w:cs="仿宋"/>
          <w:spacing w:val="-1"/>
          <w:sz w:val="30"/>
          <w:szCs w:val="30"/>
        </w:rPr>
        <w:t>开发“基本技能平台”课程。</w:t>
      </w:r>
      <w:r>
        <w:rPr>
          <w:rFonts w:hint="eastAsia" w:ascii="仿宋" w:hAnsi="仿宋" w:eastAsia="仿宋" w:cs="仿宋"/>
          <w:spacing w:val="-1"/>
          <w:sz w:val="30"/>
          <w:szCs w:val="30"/>
          <w:lang w:val="en-US" w:eastAsia="zh-CN"/>
        </w:rPr>
        <w:t>2）</w:t>
      </w:r>
      <w:r>
        <w:rPr>
          <w:rFonts w:hint="eastAsia" w:ascii="仿宋" w:hAnsi="仿宋" w:eastAsia="仿宋" w:cs="仿宋"/>
          <w:spacing w:val="-1"/>
          <w:sz w:val="30"/>
          <w:szCs w:val="30"/>
        </w:rPr>
        <w:t>开发“技能拔高平台”专向课程</w:t>
      </w:r>
      <w:r>
        <w:rPr>
          <w:rFonts w:hint="eastAsia" w:ascii="仿宋" w:hAnsi="仿宋" w:eastAsia="仿宋" w:cs="仿宋"/>
          <w:spacing w:val="-1"/>
          <w:sz w:val="30"/>
          <w:szCs w:val="30"/>
          <w:lang w:eastAsia="zh-CN"/>
        </w:rPr>
        <w:t>。</w:t>
      </w:r>
      <w:r>
        <w:rPr>
          <w:rFonts w:hint="eastAsia" w:ascii="仿宋" w:hAnsi="仿宋" w:eastAsia="仿宋" w:cs="仿宋"/>
          <w:spacing w:val="-1"/>
          <w:sz w:val="30"/>
          <w:szCs w:val="30"/>
          <w:lang w:val="en-US" w:eastAsia="zh-CN"/>
        </w:rPr>
        <w:t>3）</w:t>
      </w:r>
      <w:r>
        <w:rPr>
          <w:rFonts w:hint="eastAsia" w:ascii="仿宋" w:hAnsi="仿宋" w:eastAsia="仿宋" w:cs="仿宋"/>
          <w:spacing w:val="-1"/>
          <w:sz w:val="30"/>
          <w:szCs w:val="30"/>
        </w:rPr>
        <w:t>开发“拓展创新平台”研修课程。</w:t>
      </w:r>
      <w:r>
        <w:rPr>
          <w:rFonts w:hint="eastAsia" w:ascii="仿宋" w:hAnsi="仿宋" w:eastAsia="仿宋" w:cs="仿宋"/>
          <w:spacing w:val="-1"/>
          <w:sz w:val="30"/>
          <w:szCs w:val="30"/>
          <w:lang w:val="en-US" w:eastAsia="zh-CN"/>
        </w:rPr>
        <w:t>4）</w:t>
      </w:r>
      <w:r>
        <w:rPr>
          <w:rFonts w:hint="eastAsia" w:ascii="仿宋" w:hAnsi="仿宋" w:eastAsia="仿宋" w:cs="仿宋"/>
          <w:spacing w:val="-1"/>
          <w:sz w:val="30"/>
          <w:szCs w:val="30"/>
        </w:rPr>
        <w:t>构建平台初、中、高三级逐级提升的高技能人才培养教学运行体系。</w:t>
      </w:r>
      <w:r>
        <w:rPr>
          <w:rFonts w:hint="eastAsia" w:ascii="仿宋" w:hAnsi="仿宋" w:eastAsia="仿宋" w:cs="仿宋"/>
          <w:spacing w:val="-1"/>
          <w:sz w:val="30"/>
          <w:szCs w:val="30"/>
          <w:lang w:val="en-US" w:eastAsia="zh-CN"/>
        </w:rPr>
        <w:t>3.</w:t>
      </w:r>
      <w:r>
        <w:rPr>
          <w:rFonts w:hint="eastAsia" w:ascii="仿宋" w:hAnsi="仿宋" w:eastAsia="仿宋" w:cs="仿宋"/>
          <w:sz w:val="30"/>
          <w:szCs w:val="30"/>
        </w:rPr>
        <w:t>构建生产与教学协调、资源与技术更新的机制，确保“三级平台”高技能人才培养有效运行。</w:t>
      </w:r>
      <w:r>
        <w:rPr>
          <w:rFonts w:hint="eastAsia" w:ascii="仿宋" w:hAnsi="仿宋" w:eastAsia="仿宋" w:cs="仿宋"/>
          <w:sz w:val="30"/>
          <w:szCs w:val="30"/>
          <w:lang w:val="en-US" w:eastAsia="zh-CN"/>
        </w:rPr>
        <w:t>4.</w:t>
      </w:r>
      <w:r>
        <w:rPr>
          <w:rFonts w:hint="eastAsia" w:ascii="仿宋" w:hAnsi="仿宋" w:eastAsia="仿宋" w:cs="仿宋"/>
          <w:sz w:val="30"/>
          <w:szCs w:val="30"/>
        </w:rPr>
        <w:t>建立三个专业化的教师培养中心，实现“双师型”教师校本化培养，为“三级平台” 的运行提供支撑。</w:t>
      </w:r>
      <w:r>
        <w:rPr>
          <w:rFonts w:hint="eastAsia" w:ascii="仿宋" w:hAnsi="仿宋" w:eastAsia="仿宋" w:cs="仿宋"/>
          <w:sz w:val="30"/>
          <w:szCs w:val="30"/>
          <w:lang w:eastAsia="zh-CN"/>
        </w:rPr>
        <w:t>成效：</w:t>
      </w:r>
      <w:r>
        <w:rPr>
          <w:rFonts w:hint="eastAsia" w:ascii="仿宋" w:hAnsi="仿宋" w:eastAsia="仿宋" w:cs="仿宋"/>
          <w:sz w:val="30"/>
          <w:szCs w:val="30"/>
          <w:lang w:val="en-US" w:eastAsia="zh-CN"/>
        </w:rPr>
        <w:t>1.</w:t>
      </w:r>
      <w:r>
        <w:rPr>
          <w:rFonts w:hint="eastAsia" w:ascii="仿宋" w:hAnsi="仿宋" w:eastAsia="仿宋" w:cs="仿宋"/>
          <w:spacing w:val="-4"/>
          <w:sz w:val="30"/>
          <w:szCs w:val="30"/>
        </w:rPr>
        <w:t>显著提高了机械专业人才培养质量</w:t>
      </w:r>
      <w:r>
        <w:rPr>
          <w:rFonts w:hint="eastAsia" w:ascii="仿宋" w:hAnsi="仿宋" w:eastAsia="仿宋" w:cs="仿宋"/>
          <w:spacing w:val="-4"/>
          <w:sz w:val="30"/>
          <w:szCs w:val="30"/>
          <w:lang w:eastAsia="zh-CN"/>
        </w:rPr>
        <w:t>。</w:t>
      </w:r>
      <w:r>
        <w:rPr>
          <w:rFonts w:hint="eastAsia" w:ascii="仿宋" w:hAnsi="仿宋" w:eastAsia="仿宋" w:cs="仿宋"/>
          <w:spacing w:val="-4"/>
          <w:sz w:val="30"/>
          <w:szCs w:val="30"/>
          <w:lang w:val="en-US" w:eastAsia="zh-CN"/>
        </w:rPr>
        <w:t>2.</w:t>
      </w:r>
      <w:r>
        <w:rPr>
          <w:rFonts w:hint="eastAsia" w:ascii="仿宋" w:hAnsi="仿宋" w:eastAsia="仿宋" w:cs="仿宋"/>
          <w:spacing w:val="-3"/>
          <w:sz w:val="30"/>
          <w:szCs w:val="30"/>
        </w:rPr>
        <w:t>有效实现</w:t>
      </w:r>
      <w:r>
        <w:rPr>
          <w:rFonts w:hint="eastAsia" w:ascii="仿宋" w:hAnsi="仿宋" w:eastAsia="仿宋" w:cs="仿宋"/>
          <w:spacing w:val="-3"/>
          <w:sz w:val="30"/>
          <w:szCs w:val="30"/>
          <w:lang w:eastAsia="zh-CN"/>
        </w:rPr>
        <w:t>数控</w:t>
      </w:r>
      <w:r>
        <w:rPr>
          <w:rFonts w:hint="eastAsia" w:ascii="仿宋" w:hAnsi="仿宋" w:eastAsia="仿宋" w:cs="仿宋"/>
          <w:spacing w:val="-3"/>
          <w:sz w:val="30"/>
          <w:szCs w:val="30"/>
        </w:rPr>
        <w:t>专业“双师型”教师校本培养</w:t>
      </w:r>
      <w:r>
        <w:rPr>
          <w:rFonts w:hint="eastAsia" w:ascii="仿宋" w:hAnsi="仿宋" w:eastAsia="仿宋" w:cs="仿宋"/>
          <w:spacing w:val="-3"/>
          <w:sz w:val="30"/>
          <w:szCs w:val="30"/>
          <w:lang w:eastAsia="zh-CN"/>
        </w:rPr>
        <w:t>。</w:t>
      </w:r>
      <w:r>
        <w:rPr>
          <w:rFonts w:hint="eastAsia" w:ascii="仿宋" w:hAnsi="仿宋" w:eastAsia="仿宋" w:cs="仿宋"/>
          <w:spacing w:val="-3"/>
          <w:sz w:val="30"/>
          <w:szCs w:val="30"/>
          <w:lang w:val="en-US" w:eastAsia="zh-CN"/>
        </w:rPr>
        <w:t>3.</w:t>
      </w:r>
      <w:r>
        <w:rPr>
          <w:rFonts w:hint="eastAsia" w:ascii="仿宋" w:hAnsi="仿宋" w:eastAsia="仿宋" w:cs="仿宋"/>
          <w:spacing w:val="-1"/>
          <w:sz w:val="30"/>
          <w:szCs w:val="30"/>
        </w:rPr>
        <w:t>推动企业行业深度参与机械专业高技能人才培养。</w:t>
      </w:r>
      <w:r>
        <w:rPr>
          <w:rFonts w:hint="eastAsia" w:ascii="仿宋" w:hAnsi="仿宋" w:eastAsia="仿宋" w:cs="仿宋"/>
          <w:spacing w:val="-1"/>
          <w:sz w:val="30"/>
          <w:szCs w:val="30"/>
          <w:lang w:val="en-US" w:eastAsia="zh-CN"/>
        </w:rPr>
        <w:t>4.</w:t>
      </w:r>
      <w:r>
        <w:rPr>
          <w:rFonts w:hint="eastAsia" w:ascii="仿宋" w:hAnsi="仿宋" w:eastAsia="仿宋" w:cs="仿宋"/>
          <w:spacing w:val="-1"/>
          <w:sz w:val="30"/>
          <w:szCs w:val="30"/>
          <w:lang w:eastAsia="zh-CN"/>
        </w:rPr>
        <w:t>学</w:t>
      </w:r>
      <w:r>
        <w:rPr>
          <w:rFonts w:hint="eastAsia" w:ascii="仿宋" w:hAnsi="仿宋" w:eastAsia="仿宋" w:cs="仿宋"/>
          <w:spacing w:val="-1"/>
          <w:sz w:val="30"/>
          <w:szCs w:val="30"/>
        </w:rPr>
        <w:t>校常年担任全国职业院校技能大赛“工业产品设计与创客实践”项</w:t>
      </w:r>
      <w:r>
        <w:rPr>
          <w:rFonts w:hint="eastAsia" w:ascii="仿宋" w:hAnsi="仿宋" w:eastAsia="仿宋" w:cs="仿宋"/>
          <w:sz w:val="30"/>
          <w:szCs w:val="30"/>
        </w:rPr>
        <w:t>目安徽省领队学校，承担了多次该项目安徽省代表队的集训工作</w:t>
      </w:r>
      <w:r>
        <w:rPr>
          <w:rFonts w:hint="eastAsia" w:ascii="仿宋" w:hAnsi="仿宋" w:eastAsia="仿宋" w:cs="仿宋"/>
          <w:sz w:val="30"/>
          <w:szCs w:val="30"/>
          <w:lang w:eastAsia="zh-CN"/>
        </w:rPr>
        <w:t>。</w:t>
      </w:r>
    </w:p>
    <w:p>
      <w:pPr>
        <w:ind w:firstLine="602" w:firstLineChars="200"/>
        <w:outlineLvl w:val="0"/>
        <w:rPr>
          <w:rFonts w:hint="eastAsia" w:ascii="仿宋" w:hAnsi="仿宋" w:eastAsia="仿宋" w:cs="仿宋"/>
          <w:b/>
          <w:bCs/>
          <w:sz w:val="30"/>
          <w:szCs w:val="30"/>
          <w:lang w:val="en-US" w:eastAsia="zh-CN"/>
        </w:rPr>
      </w:pPr>
      <w:bookmarkStart w:id="31" w:name="_Toc1517"/>
      <w:r>
        <w:rPr>
          <w:rFonts w:hint="eastAsia" w:ascii="仿宋" w:hAnsi="仿宋" w:eastAsia="仿宋" w:cs="仿宋"/>
          <w:b/>
          <w:bCs/>
          <w:sz w:val="30"/>
          <w:szCs w:val="30"/>
          <w:lang w:val="en-US" w:eastAsia="zh-CN"/>
        </w:rPr>
        <w:t>六、服务贡献</w:t>
      </w:r>
      <w:bookmarkEnd w:id="31"/>
    </w:p>
    <w:p>
      <w:pPr>
        <w:ind w:firstLine="602" w:firstLineChars="200"/>
        <w:outlineLvl w:val="1"/>
        <w:rPr>
          <w:rFonts w:hint="eastAsia" w:ascii="仿宋" w:hAnsi="仿宋" w:eastAsia="仿宋" w:cs="仿宋"/>
          <w:b/>
          <w:bCs/>
          <w:sz w:val="30"/>
          <w:szCs w:val="30"/>
          <w:lang w:val="en-US" w:eastAsia="zh-CN"/>
        </w:rPr>
      </w:pPr>
      <w:bookmarkStart w:id="32" w:name="_Toc27697"/>
      <w:r>
        <w:rPr>
          <w:rFonts w:hint="eastAsia" w:ascii="仿宋" w:hAnsi="仿宋" w:eastAsia="仿宋" w:cs="仿宋"/>
          <w:b/>
          <w:bCs/>
          <w:sz w:val="30"/>
          <w:szCs w:val="30"/>
          <w:lang w:val="en-US" w:eastAsia="zh-CN"/>
        </w:rPr>
        <w:t>6.1服务皖北区域财政培训工作</w:t>
      </w:r>
      <w:bookmarkEnd w:id="32"/>
    </w:p>
    <w:p>
      <w:pPr>
        <w:ind w:firstLine="600" w:firstLineChars="200"/>
        <w:rPr>
          <w:rFonts w:hint="eastAsia" w:ascii="仿宋" w:hAnsi="仿宋" w:eastAsia="仿宋" w:cs="仿宋"/>
          <w:sz w:val="30"/>
          <w:szCs w:val="30"/>
          <w:lang w:eastAsia="zh-CN"/>
        </w:rPr>
      </w:pPr>
      <w:r>
        <w:rPr>
          <w:rFonts w:hint="eastAsia" w:ascii="仿宋" w:hAnsi="仿宋" w:eastAsia="仿宋" w:cs="仿宋"/>
          <w:sz w:val="30"/>
          <w:szCs w:val="30"/>
        </w:rPr>
        <w:t>学校坚持成人教育与学历教育均衡发展</w:t>
      </w:r>
      <w:r>
        <w:rPr>
          <w:rFonts w:hint="eastAsia" w:ascii="仿宋" w:hAnsi="仿宋" w:eastAsia="仿宋" w:cs="仿宋"/>
          <w:sz w:val="30"/>
          <w:szCs w:val="30"/>
          <w:lang w:eastAsia="zh-CN"/>
        </w:rPr>
        <w:t>，</w:t>
      </w:r>
      <w:r>
        <w:rPr>
          <w:rFonts w:hint="eastAsia" w:ascii="仿宋" w:hAnsi="仿宋" w:eastAsia="仿宋" w:cs="仿宋"/>
          <w:sz w:val="30"/>
          <w:szCs w:val="30"/>
        </w:rPr>
        <w:t>利用北校区资源积极承担各类成人教育、短期培训，</w:t>
      </w:r>
      <w:r>
        <w:rPr>
          <w:rFonts w:hint="eastAsia" w:ascii="仿宋" w:hAnsi="仿宋" w:eastAsia="仿宋" w:cs="仿宋"/>
          <w:sz w:val="30"/>
          <w:szCs w:val="30"/>
          <w:lang w:eastAsia="zh-CN"/>
        </w:rPr>
        <w:t>如</w:t>
      </w:r>
      <w:r>
        <w:rPr>
          <w:rFonts w:hint="eastAsia" w:ascii="仿宋" w:hAnsi="仿宋" w:eastAsia="仿宋" w:cs="仿宋"/>
          <w:sz w:val="30"/>
          <w:szCs w:val="30"/>
        </w:rPr>
        <w:t>皖北五市乡镇财政干部</w:t>
      </w:r>
      <w:r>
        <w:rPr>
          <w:rFonts w:hint="eastAsia" w:ascii="仿宋" w:hAnsi="仿宋" w:eastAsia="仿宋" w:cs="仿宋"/>
          <w:sz w:val="30"/>
          <w:szCs w:val="30"/>
          <w:lang w:eastAsia="zh-CN"/>
        </w:rPr>
        <w:t>培训、创业培训班、成人高等教育函授站等。</w:t>
      </w:r>
      <w:r>
        <w:rPr>
          <w:rFonts w:hint="eastAsia" w:ascii="仿宋" w:hAnsi="仿宋" w:eastAsia="仿宋" w:cs="仿宋"/>
          <w:sz w:val="30"/>
          <w:szCs w:val="30"/>
          <w:lang w:val="en-US" w:eastAsia="zh-CN"/>
        </w:rPr>
        <w:t>2023年学校根据省财政厅培训要求，合理安排</w:t>
      </w:r>
      <w:r>
        <w:rPr>
          <w:rFonts w:hint="eastAsia" w:ascii="仿宋" w:hAnsi="仿宋" w:eastAsia="仿宋" w:cs="仿宋"/>
          <w:sz w:val="30"/>
          <w:szCs w:val="30"/>
        </w:rPr>
        <w:t>培训课程体系</w:t>
      </w:r>
      <w:r>
        <w:rPr>
          <w:rFonts w:hint="eastAsia" w:ascii="仿宋" w:hAnsi="仿宋" w:eastAsia="仿宋" w:cs="仿宋"/>
          <w:sz w:val="30"/>
          <w:szCs w:val="30"/>
          <w:lang w:eastAsia="zh-CN"/>
        </w:rPr>
        <w:t>，课程内容</w:t>
      </w:r>
      <w:r>
        <w:rPr>
          <w:rFonts w:hint="eastAsia" w:ascii="仿宋" w:hAnsi="仿宋" w:eastAsia="仿宋" w:cs="仿宋"/>
          <w:sz w:val="30"/>
          <w:szCs w:val="30"/>
        </w:rPr>
        <w:t>既</w:t>
      </w:r>
      <w:r>
        <w:rPr>
          <w:rFonts w:hint="eastAsia" w:ascii="仿宋" w:hAnsi="仿宋" w:eastAsia="仿宋" w:cs="仿宋"/>
          <w:sz w:val="30"/>
          <w:szCs w:val="30"/>
          <w:lang w:eastAsia="zh-CN"/>
        </w:rPr>
        <w:t>涵盖</w:t>
      </w:r>
      <w:r>
        <w:rPr>
          <w:rFonts w:hint="eastAsia" w:ascii="仿宋" w:hAnsi="仿宋" w:eastAsia="仿宋" w:cs="仿宋"/>
          <w:sz w:val="30"/>
          <w:szCs w:val="30"/>
        </w:rPr>
        <w:t>当前国家宏观经济形势、政策及经济发展趋势等分析，又</w:t>
      </w:r>
      <w:r>
        <w:rPr>
          <w:rFonts w:hint="eastAsia" w:ascii="仿宋" w:hAnsi="仿宋" w:eastAsia="仿宋" w:cs="仿宋"/>
          <w:sz w:val="30"/>
          <w:szCs w:val="30"/>
          <w:lang w:eastAsia="zh-CN"/>
        </w:rPr>
        <w:t>含有</w:t>
      </w:r>
      <w:r>
        <w:rPr>
          <w:rFonts w:hint="eastAsia" w:ascii="仿宋" w:hAnsi="仿宋" w:eastAsia="仿宋" w:cs="仿宋"/>
          <w:sz w:val="30"/>
          <w:szCs w:val="30"/>
        </w:rPr>
        <w:t>以“实用”为出发点</w:t>
      </w:r>
      <w:r>
        <w:rPr>
          <w:rFonts w:hint="eastAsia" w:ascii="仿宋" w:hAnsi="仿宋" w:eastAsia="仿宋" w:cs="仿宋"/>
          <w:sz w:val="30"/>
          <w:szCs w:val="30"/>
          <w:lang w:eastAsia="zh-CN"/>
        </w:rPr>
        <w:t>的</w:t>
      </w:r>
      <w:r>
        <w:rPr>
          <w:rFonts w:hint="eastAsia" w:ascii="仿宋" w:hAnsi="仿宋" w:eastAsia="仿宋" w:cs="仿宋"/>
          <w:sz w:val="30"/>
          <w:szCs w:val="30"/>
          <w:lang w:val="en-US" w:eastAsia="zh-CN"/>
        </w:rPr>
        <w:t>农村集体三资管理、报账员实务。培训</w:t>
      </w:r>
      <w:r>
        <w:rPr>
          <w:rFonts w:hint="eastAsia" w:ascii="仿宋" w:hAnsi="仿宋" w:eastAsia="仿宋" w:cs="仿宋"/>
          <w:sz w:val="30"/>
          <w:szCs w:val="30"/>
        </w:rPr>
        <w:t>内容翔实，操作性强</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同时加强了培训管理，提高了培训效果，本年度完成基础财政干部培训735人和基础财政人员培训</w:t>
      </w:r>
      <w:r>
        <w:rPr>
          <w:rFonts w:hint="eastAsia" w:ascii="仿宋" w:hAnsi="仿宋" w:eastAsia="仿宋" w:cs="仿宋"/>
          <w:sz w:val="30"/>
          <w:szCs w:val="30"/>
        </w:rPr>
        <w:t>810人</w:t>
      </w:r>
      <w:r>
        <w:rPr>
          <w:rFonts w:hint="eastAsia" w:ascii="仿宋" w:hAnsi="仿宋" w:eastAsia="仿宋" w:cs="仿宋"/>
          <w:sz w:val="30"/>
          <w:szCs w:val="30"/>
          <w:lang w:eastAsia="zh-CN"/>
        </w:rPr>
        <w:t>。</w:t>
      </w:r>
    </w:p>
    <w:p>
      <w:pPr>
        <w:pStyle w:val="3"/>
        <w:outlineLvl w:val="9"/>
        <w:rPr>
          <w:rFonts w:hint="eastAsia"/>
          <w:lang w:val="en-US" w:eastAsia="zh-CN"/>
        </w:rPr>
      </w:pPr>
      <w:r>
        <w:rPr>
          <w:rFonts w:hint="eastAsia" w:ascii="黑体" w:hAnsi="黑体" w:eastAsia="黑体" w:cs="黑体"/>
          <w:b/>
          <w:bCs/>
          <w:kern w:val="0"/>
          <w:sz w:val="30"/>
          <w:szCs w:val="30"/>
          <w:lang w:bidi="ar"/>
        </w:rPr>
        <w:drawing>
          <wp:anchor distT="0" distB="0" distL="114300" distR="114300" simplePos="0" relativeHeight="251663360" behindDoc="0" locked="0" layoutInCell="1" allowOverlap="1">
            <wp:simplePos x="0" y="0"/>
            <wp:positionH relativeFrom="column">
              <wp:posOffset>545465</wp:posOffset>
            </wp:positionH>
            <wp:positionV relativeFrom="paragraph">
              <wp:posOffset>3810</wp:posOffset>
            </wp:positionV>
            <wp:extent cx="3941445" cy="2527935"/>
            <wp:effectExtent l="0" t="0" r="1905" b="5715"/>
            <wp:wrapSquare wrapText="bothSides"/>
            <wp:docPr id="20" name="图片 2" descr="DSC_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DSC_0995"/>
                    <pic:cNvPicPr>
                      <a:picLocks noChangeAspect="1"/>
                    </pic:cNvPicPr>
                  </pic:nvPicPr>
                  <pic:blipFill>
                    <a:blip r:embed="rId26"/>
                    <a:stretch>
                      <a:fillRect/>
                    </a:stretch>
                  </pic:blipFill>
                  <pic:spPr>
                    <a:xfrm>
                      <a:off x="0" y="0"/>
                      <a:ext cx="3941445" cy="2527935"/>
                    </a:xfrm>
                    <a:prstGeom prst="rect">
                      <a:avLst/>
                    </a:prstGeom>
                    <a:noFill/>
                    <a:ln>
                      <a:noFill/>
                    </a:ln>
                  </pic:spPr>
                </pic:pic>
              </a:graphicData>
            </a:graphic>
          </wp:anchor>
        </w:drawing>
      </w:r>
    </w:p>
    <w:p>
      <w:pPr>
        <w:ind w:firstLine="643" w:firstLineChars="200"/>
        <w:rPr>
          <w:rFonts w:hint="eastAsia" w:ascii="仿宋" w:hAnsi="仿宋" w:eastAsia="仿宋" w:cs="仿宋"/>
          <w:b/>
          <w:bCs/>
          <w:sz w:val="32"/>
          <w:szCs w:val="32"/>
          <w:lang w:val="en-US" w:eastAsia="zh-CN"/>
        </w:rPr>
      </w:pPr>
    </w:p>
    <w:p>
      <w:pPr>
        <w:ind w:firstLine="643" w:firstLineChars="200"/>
        <w:rPr>
          <w:rFonts w:hint="eastAsia" w:ascii="仿宋" w:hAnsi="仿宋" w:eastAsia="仿宋" w:cs="仿宋"/>
          <w:b/>
          <w:bCs/>
          <w:sz w:val="32"/>
          <w:szCs w:val="32"/>
          <w:lang w:val="en-US" w:eastAsia="zh-CN"/>
        </w:rPr>
      </w:pPr>
    </w:p>
    <w:p>
      <w:pPr>
        <w:pStyle w:val="3"/>
        <w:jc w:val="both"/>
        <w:outlineLvl w:val="9"/>
        <w:rPr>
          <w:rFonts w:hint="eastAsia" w:ascii="仿宋" w:hAnsi="仿宋" w:eastAsia="仿宋" w:cs="仿宋"/>
          <w:b/>
          <w:bCs/>
          <w:sz w:val="24"/>
          <w:szCs w:val="24"/>
          <w:lang w:val="en-US" w:eastAsia="zh-CN"/>
        </w:rPr>
      </w:pPr>
    </w:p>
    <w:p>
      <w:pPr>
        <w:ind w:firstLine="602" w:firstLineChars="200"/>
        <w:outlineLvl w:val="1"/>
        <w:rPr>
          <w:rFonts w:hint="eastAsia" w:ascii="仿宋" w:hAnsi="仿宋" w:eastAsia="仿宋" w:cs="仿宋"/>
          <w:b/>
          <w:bCs/>
          <w:sz w:val="30"/>
          <w:szCs w:val="30"/>
          <w:lang w:val="en-US" w:eastAsia="zh-CN"/>
        </w:rPr>
      </w:pPr>
      <w:bookmarkStart w:id="33" w:name="_Toc7502"/>
    </w:p>
    <w:p>
      <w:pPr>
        <w:ind w:firstLine="482" w:firstLineChars="200"/>
        <w:jc w:val="center"/>
        <w:outlineLvl w:val="1"/>
        <w:rPr>
          <w:rFonts w:hint="eastAsia" w:ascii="仿宋" w:hAnsi="仿宋" w:eastAsia="仿宋" w:cs="仿宋"/>
          <w:b/>
          <w:bCs/>
          <w:sz w:val="24"/>
          <w:szCs w:val="24"/>
          <w:lang w:val="en-US" w:eastAsia="zh-CN"/>
        </w:rPr>
      </w:pPr>
    </w:p>
    <w:p>
      <w:pPr>
        <w:ind w:firstLine="482" w:firstLineChars="200"/>
        <w:jc w:val="center"/>
        <w:outlineLvl w:val="1"/>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财政支农人员培训</w:t>
      </w:r>
    </w:p>
    <w:p>
      <w:pPr>
        <w:ind w:firstLine="602" w:firstLineChars="200"/>
        <w:outlineLvl w:val="1"/>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6.2对口服务职业院校</w:t>
      </w:r>
      <w:bookmarkEnd w:id="33"/>
    </w:p>
    <w:p>
      <w:pPr>
        <w:spacing w:line="360" w:lineRule="auto"/>
        <w:ind w:firstLine="600" w:firstLineChars="200"/>
        <w:rPr>
          <w:rFonts w:hint="eastAsia" w:ascii="仿宋" w:hAnsi="仿宋" w:eastAsia="仿宋" w:cs="仿宋"/>
          <w:sz w:val="30"/>
          <w:szCs w:val="30"/>
        </w:rPr>
      </w:pPr>
      <w:r>
        <w:rPr>
          <w:rFonts w:hint="eastAsia" w:ascii="仿宋" w:hAnsi="仿宋" w:eastAsia="仿宋" w:cs="仿宋"/>
          <w:b w:val="0"/>
          <w:bCs/>
          <w:sz w:val="30"/>
          <w:szCs w:val="30"/>
          <w:lang w:val="en-US" w:eastAsia="zh-CN"/>
        </w:rPr>
        <w:t>学</w:t>
      </w:r>
      <w:r>
        <w:rPr>
          <w:rFonts w:hint="eastAsia" w:ascii="仿宋" w:hAnsi="仿宋" w:eastAsia="仿宋" w:cs="仿宋"/>
          <w:b w:val="0"/>
          <w:bCs/>
          <w:sz w:val="30"/>
          <w:szCs w:val="30"/>
        </w:rPr>
        <w:t>校与阜阳科学技术学校签订《对口支援协议书》，选派</w:t>
      </w:r>
      <w:r>
        <w:rPr>
          <w:rFonts w:hint="eastAsia" w:ascii="仿宋" w:hAnsi="仿宋" w:eastAsia="仿宋" w:cs="仿宋"/>
          <w:b w:val="0"/>
          <w:bCs/>
          <w:sz w:val="30"/>
          <w:szCs w:val="30"/>
          <w:lang w:val="en-US" w:eastAsia="zh-CN"/>
        </w:rPr>
        <w:t>计算机技术应用专业</w:t>
      </w:r>
      <w:r>
        <w:rPr>
          <w:rFonts w:hint="eastAsia" w:ascii="仿宋" w:hAnsi="仿宋" w:eastAsia="仿宋" w:cs="仿宋"/>
          <w:b w:val="0"/>
          <w:bCs/>
          <w:sz w:val="30"/>
          <w:szCs w:val="30"/>
        </w:rPr>
        <w:t>教师赴阜阳科学技术学校进行专业建设帮扶</w:t>
      </w:r>
      <w:r>
        <w:rPr>
          <w:rFonts w:hint="eastAsia" w:ascii="仿宋" w:hAnsi="仿宋" w:eastAsia="仿宋" w:cs="仿宋"/>
          <w:b w:val="0"/>
          <w:bCs/>
          <w:sz w:val="30"/>
          <w:szCs w:val="30"/>
          <w:lang w:eastAsia="zh-CN"/>
        </w:rPr>
        <w:t>。</w:t>
      </w:r>
      <w:r>
        <w:rPr>
          <w:rFonts w:hint="eastAsia" w:ascii="仿宋" w:hAnsi="仿宋" w:eastAsia="仿宋" w:cs="仿宋"/>
          <w:sz w:val="30"/>
          <w:szCs w:val="30"/>
        </w:rPr>
        <w:t>通过讲座、授课、技能指导等方式开展了大量的</w:t>
      </w:r>
      <w:r>
        <w:rPr>
          <w:rFonts w:hint="eastAsia" w:ascii="仿宋" w:hAnsi="仿宋" w:eastAsia="仿宋" w:cs="仿宋"/>
          <w:sz w:val="30"/>
          <w:szCs w:val="30"/>
          <w:lang w:val="en-US" w:eastAsia="zh-CN"/>
        </w:rPr>
        <w:t>教科研</w:t>
      </w:r>
      <w:r>
        <w:rPr>
          <w:rFonts w:hint="eastAsia" w:ascii="仿宋" w:hAnsi="仿宋" w:eastAsia="仿宋" w:cs="仿宋"/>
          <w:sz w:val="30"/>
          <w:szCs w:val="30"/>
        </w:rPr>
        <w:t>活动，</w:t>
      </w:r>
      <w:r>
        <w:rPr>
          <w:rFonts w:hint="eastAsia" w:ascii="仿宋" w:hAnsi="仿宋" w:eastAsia="仿宋" w:cs="仿宋"/>
          <w:sz w:val="30"/>
          <w:szCs w:val="30"/>
          <w:lang w:val="en-US" w:eastAsia="zh-CN"/>
        </w:rPr>
        <w:t>完善了被支援学校专业人才培养方案修订、改造完成被支援学校信息专业实训室，</w:t>
      </w:r>
      <w:r>
        <w:rPr>
          <w:rFonts w:hint="eastAsia" w:ascii="仿宋" w:hAnsi="仿宋" w:eastAsia="仿宋" w:cs="仿宋"/>
          <w:sz w:val="30"/>
          <w:szCs w:val="30"/>
        </w:rPr>
        <w:t>推动了阜阳科学技术学校计算机应用专业的发展</w:t>
      </w:r>
      <w:r>
        <w:rPr>
          <w:rFonts w:hint="eastAsia" w:ascii="仿宋" w:hAnsi="仿宋" w:eastAsia="仿宋" w:cs="仿宋"/>
          <w:sz w:val="30"/>
          <w:szCs w:val="30"/>
          <w:lang w:eastAsia="zh-CN"/>
        </w:rPr>
        <w:t>。</w:t>
      </w:r>
      <w:r>
        <w:rPr>
          <w:rFonts w:hint="eastAsia" w:ascii="仿宋" w:hAnsi="仿宋" w:eastAsia="仿宋" w:cs="仿宋"/>
          <w:sz w:val="30"/>
          <w:szCs w:val="30"/>
        </w:rPr>
        <w:t>在</w:t>
      </w:r>
      <w:r>
        <w:rPr>
          <w:rFonts w:hint="eastAsia" w:ascii="仿宋" w:hAnsi="仿宋" w:eastAsia="仿宋" w:cs="仿宋"/>
          <w:sz w:val="30"/>
          <w:szCs w:val="30"/>
          <w:lang w:eastAsia="zh-CN"/>
        </w:rPr>
        <w:t>对口帮扶</w:t>
      </w:r>
      <w:r>
        <w:rPr>
          <w:rFonts w:hint="eastAsia" w:ascii="仿宋" w:hAnsi="仿宋" w:eastAsia="仿宋" w:cs="仿宋"/>
          <w:sz w:val="30"/>
          <w:szCs w:val="30"/>
          <w:lang w:val="en-US" w:eastAsia="zh-CN"/>
        </w:rPr>
        <w:t>指导下，学校教师在</w:t>
      </w:r>
      <w:r>
        <w:rPr>
          <w:rFonts w:hint="eastAsia" w:ascii="仿宋" w:hAnsi="仿宋" w:eastAsia="仿宋" w:cs="仿宋"/>
          <w:sz w:val="30"/>
          <w:szCs w:val="30"/>
        </w:rPr>
        <w:t>阜阳市“三优作品”评选中获得了</w:t>
      </w:r>
      <w:r>
        <w:rPr>
          <w:rFonts w:hint="eastAsia" w:ascii="仿宋" w:hAnsi="仿宋" w:eastAsia="仿宋" w:cs="仿宋"/>
          <w:sz w:val="30"/>
          <w:szCs w:val="30"/>
          <w:lang w:eastAsia="zh-CN"/>
        </w:rPr>
        <w:t>优秀</w:t>
      </w:r>
      <w:r>
        <w:rPr>
          <w:rFonts w:hint="eastAsia" w:ascii="仿宋" w:hAnsi="仿宋" w:eastAsia="仿宋" w:cs="仿宋"/>
          <w:sz w:val="30"/>
          <w:szCs w:val="30"/>
        </w:rPr>
        <w:t>成绩。</w:t>
      </w:r>
    </w:p>
    <w:p>
      <w:pPr>
        <w:pStyle w:val="3"/>
        <w:jc w:val="center"/>
        <w:outlineLvl w:val="9"/>
        <w:rPr>
          <w:rFonts w:hint="eastAsia"/>
        </w:rPr>
      </w:pPr>
      <w:bookmarkStart w:id="34" w:name="_Toc30220"/>
      <w:r>
        <w:rPr>
          <w:rFonts w:hint="eastAsia"/>
        </w:rPr>
        <w:drawing>
          <wp:inline distT="0" distB="0" distL="114300" distR="114300">
            <wp:extent cx="4635500" cy="3408045"/>
            <wp:effectExtent l="0" t="0" r="12700" b="1905"/>
            <wp:docPr id="22" name="图片 14"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捕获1"/>
                    <pic:cNvPicPr>
                      <a:picLocks noChangeAspect="1"/>
                    </pic:cNvPicPr>
                  </pic:nvPicPr>
                  <pic:blipFill>
                    <a:blip r:embed="rId27"/>
                    <a:srcRect b="11363"/>
                    <a:stretch>
                      <a:fillRect/>
                    </a:stretch>
                  </pic:blipFill>
                  <pic:spPr>
                    <a:xfrm>
                      <a:off x="0" y="0"/>
                      <a:ext cx="4635500" cy="3408045"/>
                    </a:xfrm>
                    <a:prstGeom prst="rect">
                      <a:avLst/>
                    </a:prstGeom>
                    <a:noFill/>
                    <a:ln>
                      <a:noFill/>
                    </a:ln>
                  </pic:spPr>
                </pic:pic>
              </a:graphicData>
            </a:graphic>
          </wp:inline>
        </w:drawing>
      </w:r>
      <w:bookmarkEnd w:id="34"/>
    </w:p>
    <w:p>
      <w:pPr>
        <w:ind w:firstLine="3614" w:firstLineChars="15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结对帮扶工作会议</w:t>
      </w:r>
    </w:p>
    <w:p>
      <w:pPr>
        <w:ind w:firstLine="602" w:firstLineChars="200"/>
        <w:outlineLvl w:val="1"/>
        <w:rPr>
          <w:rFonts w:hint="eastAsia" w:ascii="仿宋" w:hAnsi="仿宋" w:eastAsia="仿宋" w:cs="仿宋"/>
          <w:b/>
          <w:bCs/>
          <w:sz w:val="30"/>
          <w:szCs w:val="30"/>
          <w:lang w:val="en-US" w:eastAsia="zh-CN"/>
        </w:rPr>
      </w:pPr>
      <w:bookmarkStart w:id="35" w:name="_Toc26961"/>
      <w:r>
        <w:rPr>
          <w:rFonts w:hint="eastAsia" w:ascii="仿宋" w:hAnsi="仿宋" w:eastAsia="仿宋" w:cs="仿宋"/>
          <w:b/>
          <w:bCs/>
          <w:sz w:val="30"/>
          <w:szCs w:val="30"/>
          <w:lang w:val="en-US" w:eastAsia="zh-CN"/>
        </w:rPr>
        <w:t>6.3服务乡村振兴</w:t>
      </w:r>
      <w:bookmarkEnd w:id="35"/>
    </w:p>
    <w:p>
      <w:pPr>
        <w:pStyle w:val="53"/>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学校通过对定点帮扶村</w:t>
      </w:r>
      <w:r>
        <w:rPr>
          <w:rFonts w:hint="eastAsia" w:ascii="仿宋" w:hAnsi="仿宋" w:eastAsia="仿宋" w:cs="仿宋"/>
          <w:b w:val="0"/>
          <w:bCs w:val="0"/>
          <w:sz w:val="30"/>
          <w:szCs w:val="30"/>
          <w:lang w:val="zh-CN"/>
        </w:rPr>
        <w:t>江台行政村乡村振兴基础进行了调研，</w:t>
      </w:r>
      <w:r>
        <w:rPr>
          <w:rFonts w:hint="eastAsia" w:ascii="仿宋" w:hAnsi="仿宋" w:eastAsia="仿宋" w:cs="仿宋"/>
          <w:b w:val="0"/>
          <w:bCs w:val="0"/>
          <w:sz w:val="30"/>
          <w:szCs w:val="30"/>
          <w:lang w:val="en-US" w:eastAsia="zh-CN"/>
        </w:rPr>
        <w:t>结合实际，制定了《阜阳工业经济学校帮扶工作实施方案》、《阜阳工业经济学校定点帮扶工作计划》。明确了驻村帮扶责任、全面落实工作职责。学校领导多次带领帮扶干部到包保帮扶村颍上县赛涧乡江台村开展帮扶走访。2023年驻村工作队在党建工作、推进基础设施和人居环境整改工作、“四议两公开”工作等方面取得了良好效果。</w:t>
      </w:r>
    </w:p>
    <w:p>
      <w:pPr>
        <w:pStyle w:val="53"/>
        <w:ind w:firstLine="600" w:firstLineChars="200"/>
        <w:rPr>
          <w:rFonts w:hint="eastAsia" w:ascii="仿宋" w:hAnsi="仿宋" w:eastAsia="仿宋" w:cs="仿宋"/>
          <w:b w:val="0"/>
          <w:bCs w:val="0"/>
          <w:sz w:val="30"/>
          <w:szCs w:val="30"/>
          <w:lang w:val="en-US" w:eastAsia="zh-CN"/>
        </w:rPr>
      </w:pPr>
      <w:r>
        <w:rPr>
          <w:rFonts w:hint="eastAsia" w:ascii="仿宋" w:hAnsi="仿宋" w:eastAsia="仿宋" w:cs="仿宋"/>
          <w:b w:val="0"/>
          <w:bCs w:val="0"/>
          <w:sz w:val="30"/>
          <w:szCs w:val="30"/>
          <w:lang w:val="en-US" w:eastAsia="zh-CN"/>
        </w:rPr>
        <w:t>在开展“四下基层”和乡村振兴“双联双促”帮扶工作中，学校领导深入驻村帮扶点江台村调研乡村振兴，看望慰问驻村干部、走访结对帮扶户。驻村工作队详细介绍了村“两委”班子建设、基层党建、村集体经济发展、乡村振兴政策落地、村民居住环境整治、“主干道白改黑”建设等工作开展情况。工作队真心实意为群众办实事，提高了群众的满意度。</w:t>
      </w:r>
    </w:p>
    <w:p>
      <w:pPr>
        <w:ind w:firstLine="480" w:firstLineChars="200"/>
        <w:rPr>
          <w:rFonts w:hint="eastAsia" w:ascii="仿宋" w:hAnsi="仿宋" w:eastAsia="仿宋" w:cs="仿宋"/>
          <w:b/>
          <w:bCs/>
          <w:sz w:val="32"/>
          <w:szCs w:val="32"/>
          <w:lang w:val="en-US" w:eastAsia="zh-CN"/>
        </w:rPr>
      </w:pPr>
      <w:r>
        <w:rPr>
          <w:rFonts w:ascii="宋体" w:hAnsi="宋体" w:eastAsia="宋体" w:cs="宋体"/>
          <w:sz w:val="24"/>
          <w:szCs w:val="24"/>
        </w:rPr>
        <w:drawing>
          <wp:inline distT="0" distB="0" distL="114300" distR="114300">
            <wp:extent cx="4613275" cy="3251200"/>
            <wp:effectExtent l="0" t="0" r="15875" b="6350"/>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28"/>
                    <a:stretch>
                      <a:fillRect/>
                    </a:stretch>
                  </pic:blipFill>
                  <pic:spPr>
                    <a:xfrm>
                      <a:off x="0" y="0"/>
                      <a:ext cx="4613275" cy="3251200"/>
                    </a:xfrm>
                    <a:prstGeom prst="rect">
                      <a:avLst/>
                    </a:prstGeom>
                    <a:noFill/>
                    <a:ln w="9525">
                      <a:noFill/>
                    </a:ln>
                  </pic:spPr>
                </pic:pic>
              </a:graphicData>
            </a:graphic>
          </wp:inline>
        </w:drawing>
      </w:r>
    </w:p>
    <w:p>
      <w:pPr>
        <w:ind w:firstLine="482" w:firstLineChars="20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深入帮扶村调研</w:t>
      </w:r>
    </w:p>
    <w:p>
      <w:pPr>
        <w:ind w:firstLine="602" w:firstLineChars="200"/>
        <w:outlineLvl w:val="1"/>
        <w:rPr>
          <w:rFonts w:hint="default" w:ascii="仿宋" w:hAnsi="仿宋" w:eastAsia="仿宋" w:cs="仿宋"/>
          <w:b/>
          <w:bCs/>
          <w:sz w:val="30"/>
          <w:szCs w:val="30"/>
          <w:lang w:val="en-US" w:eastAsia="zh-CN"/>
        </w:rPr>
      </w:pPr>
      <w:bookmarkStart w:id="36" w:name="_Toc26611"/>
      <w:r>
        <w:rPr>
          <w:rFonts w:hint="eastAsia" w:ascii="仿宋" w:hAnsi="仿宋" w:eastAsia="仿宋" w:cs="仿宋"/>
          <w:b/>
          <w:bCs/>
          <w:sz w:val="30"/>
          <w:szCs w:val="30"/>
          <w:lang w:val="en-US" w:eastAsia="zh-CN"/>
        </w:rPr>
        <w:t>6.4服务地方发展</w:t>
      </w:r>
      <w:bookmarkEnd w:id="36"/>
    </w:p>
    <w:p>
      <w:pPr>
        <w:numPr>
          <w:ilvl w:val="0"/>
          <w:numId w:val="0"/>
        </w:numPr>
        <w:ind w:firstLine="600" w:firstLineChars="200"/>
        <w:rPr>
          <w:rFonts w:hint="eastAsia" w:ascii="仿宋" w:hAnsi="仿宋" w:eastAsia="仿宋" w:cs="仿宋"/>
          <w:b/>
          <w:bCs w:val="0"/>
          <w:sz w:val="30"/>
          <w:szCs w:val="30"/>
          <w:lang w:val="en-US" w:eastAsia="zh-CN"/>
        </w:rPr>
      </w:pPr>
      <w:r>
        <w:rPr>
          <w:rFonts w:hint="eastAsia" w:ascii="仿宋" w:hAnsi="仿宋" w:eastAsia="仿宋" w:cs="仿宋"/>
          <w:color w:val="auto"/>
          <w:sz w:val="30"/>
          <w:szCs w:val="30"/>
          <w:lang w:val="en-US" w:eastAsia="zh-CN"/>
        </w:rPr>
        <w:t>2023年8月23日，学校与阜合产业园区人事劳动和应急管理局、经贸局对接，园区推荐优秀园区企业与学校对接，开展校企合作。学校以服务区域经济为宗旨，将以阜合园区为中心积极向阜阳其他地区拓展，选择与我校专业匹配的优质企业开展“订单班”培养。</w:t>
      </w:r>
    </w:p>
    <w:p>
      <w:pPr>
        <w:ind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案例12.成人教育组织严谨，参与人数创新高。</w:t>
      </w:r>
    </w:p>
    <w:p>
      <w:pPr>
        <w:ind w:firstLine="600" w:firstLineChars="200"/>
        <w:rPr>
          <w:rFonts w:hint="eastAsia" w:ascii="仿宋" w:hAnsi="仿宋" w:eastAsia="仿宋" w:cs="仿宋"/>
          <w:sz w:val="30"/>
          <w:szCs w:val="30"/>
        </w:rPr>
      </w:pPr>
      <w:r>
        <w:rPr>
          <w:rFonts w:hint="eastAsia" w:ascii="仿宋" w:hAnsi="仿宋" w:eastAsia="仿宋" w:cs="仿宋"/>
          <w:sz w:val="30"/>
          <w:szCs w:val="30"/>
          <w:lang w:eastAsia="zh-CN"/>
        </w:rPr>
        <w:t>学校</w:t>
      </w:r>
      <w:r>
        <w:rPr>
          <w:rFonts w:hint="eastAsia" w:ascii="仿宋" w:hAnsi="仿宋" w:eastAsia="仿宋" w:cs="仿宋"/>
          <w:sz w:val="30"/>
          <w:szCs w:val="30"/>
        </w:rPr>
        <w:t>始终坚持以质量为前提，教学管理工作严肃认真，从任课老师的聘请，到教学计划的制定执行逐项落，并通过教学管理QQ群，使学生很快能了解和掌握相关信息。本年度组织各年级线上考试17次，参加人员数达6020人。由于思想重视，措施有力，各项工作到位，所有考试实施规范化运作，没有出现任何差错。</w:t>
      </w:r>
    </w:p>
    <w:p>
      <w:pPr>
        <w:numPr>
          <w:ilvl w:val="0"/>
          <w:numId w:val="0"/>
        </w:numPr>
        <w:ind w:firstLine="600" w:firstLineChars="200"/>
        <w:rPr>
          <w:rFonts w:hint="eastAsia" w:ascii="宋体" w:hAnsi="宋体" w:eastAsia="宋体" w:cs="宋体"/>
          <w:sz w:val="30"/>
          <w:szCs w:val="30"/>
        </w:rPr>
      </w:pPr>
      <w:r>
        <w:rPr>
          <w:rFonts w:hint="eastAsia" w:ascii="仿宋" w:hAnsi="仿宋" w:eastAsia="仿宋" w:cs="仿宋"/>
          <w:sz w:val="30"/>
          <w:szCs w:val="30"/>
        </w:rPr>
        <w:t>各层次毕业证书审核和办理工作顺利，共计办理专、本科毕业证2163人、发放 2017人，（含档案、学籍）；其中有位232位学生获得学位证书。正在办理毕业证1882人（含档案、学籍）。另还承办了江西继续教育学院成人学位英语考试，共人637人参加考试，23个考场，非英语专业6人，由于考务工作组织周密，监考过程严格规范，考试工作胜利圆满并得到了江西继教院的高度认可。</w:t>
      </w:r>
    </w:p>
    <w:p>
      <w:pPr>
        <w:ind w:firstLine="602" w:firstLineChars="200"/>
        <w:rPr>
          <w:rFonts w:hint="eastAsia" w:ascii="仿宋" w:hAnsi="仿宋" w:eastAsia="仿宋" w:cs="仿宋"/>
          <w:b/>
          <w:sz w:val="30"/>
          <w:szCs w:val="30"/>
          <w:lang w:eastAsia="zh-CN"/>
        </w:rPr>
      </w:pPr>
      <w:r>
        <w:rPr>
          <w:rFonts w:hint="eastAsia" w:ascii="仿宋" w:hAnsi="仿宋" w:eastAsia="仿宋" w:cs="仿宋"/>
          <w:b/>
          <w:bCs/>
          <w:sz w:val="30"/>
          <w:szCs w:val="30"/>
          <w:lang w:val="en-US" w:eastAsia="zh-CN"/>
        </w:rPr>
        <w:t>案例13.线上培训</w:t>
      </w:r>
      <w:r>
        <w:rPr>
          <w:rFonts w:hint="eastAsia" w:ascii="仿宋" w:hAnsi="仿宋" w:eastAsia="仿宋" w:cs="仿宋"/>
          <w:b/>
          <w:sz w:val="30"/>
          <w:szCs w:val="30"/>
        </w:rPr>
        <w:t>财政干部</w:t>
      </w:r>
      <w:r>
        <w:rPr>
          <w:rFonts w:hint="eastAsia" w:ascii="仿宋" w:hAnsi="仿宋" w:eastAsia="仿宋" w:cs="仿宋"/>
          <w:b/>
          <w:sz w:val="30"/>
          <w:szCs w:val="30"/>
          <w:lang w:eastAsia="zh-CN"/>
        </w:rPr>
        <w:t>，教学质量不下降。</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新冠肺炎的出现打乱了工作节奏，本年度的培训时间集中安排在下半年，鉴于我省疫情状况</w:t>
      </w:r>
      <w:r>
        <w:rPr>
          <w:rFonts w:hint="eastAsia" w:ascii="仿宋" w:hAnsi="仿宋" w:eastAsia="仿宋" w:cs="仿宋"/>
          <w:sz w:val="30"/>
          <w:szCs w:val="30"/>
          <w:lang w:eastAsia="zh-CN"/>
        </w:rPr>
        <w:t>，综合考虑</w:t>
      </w:r>
      <w:r>
        <w:rPr>
          <w:rFonts w:hint="eastAsia" w:ascii="仿宋" w:hAnsi="仿宋" w:eastAsia="仿宋" w:cs="仿宋"/>
          <w:sz w:val="30"/>
          <w:szCs w:val="30"/>
        </w:rPr>
        <w:t>采用线上培训形式。在时间紧任务重的情况下，一边咨询学习借鉴其他培训基地好的做法，一边与网络与科技公司技术人员沟通，提出培训需求和具体设想方案，实施录播。</w:t>
      </w:r>
    </w:p>
    <w:p>
      <w:pPr>
        <w:ind w:firstLine="600" w:firstLineChars="200"/>
        <w:rPr>
          <w:rFonts w:hint="eastAsia" w:ascii="仿宋" w:hAnsi="仿宋" w:eastAsia="仿宋" w:cs="仿宋"/>
          <w:sz w:val="30"/>
          <w:szCs w:val="30"/>
        </w:rPr>
      </w:pPr>
      <w:r>
        <w:rPr>
          <w:rFonts w:hint="eastAsia" w:ascii="仿宋" w:hAnsi="仿宋" w:eastAsia="仿宋" w:cs="仿宋"/>
          <w:sz w:val="30"/>
          <w:szCs w:val="30"/>
        </w:rPr>
        <w:t>科室人员克服困难，不仅教学质量不下降，还做到了教学质量高标准，授课教师即有我校经验丰富的教师，还聘请了高校、党校优质师质；培训内容丰富，从国家宏观政策到专业知识及廉政建设等方面给予较为全面的政策理论指导与特性案例的展示分析，帮助学员对相关政策与业务的精准理解和把握提升。支农培训线下培训2期共计210人，线上培训643人，合计853人，皖北四市线上共计培训人数是1161人。通过培训，进一步增强了学员理想信念意识、职业责任意识和廉洁自律意识，切实提高了学员财政干部专业化能力，为财政系统提供坚强的干部与人才保障起到了积极的作用。</w:t>
      </w:r>
    </w:p>
    <w:p>
      <w:pPr>
        <w:numPr>
          <w:ilvl w:val="0"/>
          <w:numId w:val="0"/>
        </w:numPr>
        <w:ind w:leftChars="0" w:firstLine="602" w:firstLineChars="20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案例14 提前谋划做工作，创业培训质提高。</w:t>
      </w:r>
    </w:p>
    <w:p>
      <w:pPr>
        <w:ind w:firstLine="600" w:firstLineChars="200"/>
        <w:rPr>
          <w:rFonts w:hint="default"/>
          <w:sz w:val="30"/>
          <w:szCs w:val="30"/>
          <w:lang w:val="en-US" w:eastAsia="zh-CN"/>
        </w:rPr>
      </w:pPr>
      <w:r>
        <w:rPr>
          <w:rFonts w:hint="eastAsia" w:ascii="仿宋" w:hAnsi="仿宋" w:eastAsia="仿宋" w:cs="仿宋"/>
          <w:sz w:val="30"/>
          <w:szCs w:val="30"/>
        </w:rPr>
        <w:t>为使学生有创业的环境，</w:t>
      </w:r>
      <w:r>
        <w:rPr>
          <w:rFonts w:hint="eastAsia" w:ascii="仿宋" w:hAnsi="仿宋" w:eastAsia="仿宋" w:cs="仿宋"/>
          <w:sz w:val="30"/>
          <w:szCs w:val="30"/>
          <w:lang w:eastAsia="zh-CN"/>
        </w:rPr>
        <w:t>学</w:t>
      </w:r>
      <w:r>
        <w:rPr>
          <w:rFonts w:hint="eastAsia" w:ascii="仿宋" w:hAnsi="仿宋" w:eastAsia="仿宋" w:cs="仿宋"/>
          <w:sz w:val="30"/>
          <w:szCs w:val="30"/>
        </w:rPr>
        <w:t>校积极组织学生参加创业培训，培养创业意识。推荐教师参加市就业中心组织的创业课程培训，投入资金增添硬件设施</w:t>
      </w:r>
      <w:r>
        <w:rPr>
          <w:rFonts w:hint="eastAsia" w:ascii="仿宋" w:hAnsi="仿宋" w:eastAsia="仿宋" w:cs="仿宋"/>
          <w:sz w:val="30"/>
          <w:szCs w:val="30"/>
          <w:lang w:eastAsia="zh-CN"/>
        </w:rPr>
        <w:t>，</w:t>
      </w:r>
      <w:r>
        <w:rPr>
          <w:rFonts w:hint="eastAsia" w:ascii="仿宋" w:hAnsi="仿宋" w:eastAsia="仿宋" w:cs="仿宋"/>
          <w:sz w:val="30"/>
          <w:szCs w:val="30"/>
        </w:rPr>
        <w:t>为保证我校创业培训能够顺利开班创造了有利的前提条件。</w:t>
      </w:r>
      <w:r>
        <w:rPr>
          <w:rFonts w:hint="eastAsia" w:ascii="仿宋" w:hAnsi="仿宋" w:eastAsia="仿宋" w:cs="仿宋"/>
          <w:sz w:val="30"/>
          <w:szCs w:val="30"/>
          <w:lang w:val="en-US" w:eastAsia="zh-CN"/>
        </w:rPr>
        <w:t>1.</w:t>
      </w:r>
      <w:r>
        <w:rPr>
          <w:rFonts w:hint="eastAsia" w:ascii="仿宋" w:hAnsi="仿宋" w:eastAsia="仿宋" w:cs="仿宋"/>
          <w:sz w:val="30"/>
          <w:szCs w:val="30"/>
        </w:rPr>
        <w:t>加大宣传力度</w:t>
      </w:r>
      <w:r>
        <w:rPr>
          <w:rFonts w:hint="eastAsia" w:ascii="仿宋" w:hAnsi="仿宋" w:eastAsia="仿宋" w:cs="仿宋"/>
          <w:sz w:val="30"/>
          <w:szCs w:val="30"/>
          <w:lang w:eastAsia="zh-CN"/>
        </w:rPr>
        <w:t>。</w:t>
      </w:r>
      <w:r>
        <w:rPr>
          <w:rFonts w:hint="eastAsia" w:ascii="仿宋" w:hAnsi="仿宋" w:eastAsia="仿宋" w:cs="仿宋"/>
          <w:sz w:val="30"/>
          <w:szCs w:val="30"/>
        </w:rPr>
        <w:t>创业培训工作，部分教师、学生不太了解，首先向班主任老师进行宣传，通过培训受益后的老学员，宣传创业典型，开展学生创业知识讲座。使我校创业培训工作目前有了一定的知名度，通过宣传老学员成功创业典型事例和创业相关知识吸引了一批又一批新学员参加培训的积极性，为我校创业培训走向健康、有序、成熟的发展之路奠定了坚实的基础，同时也为社会奉献我们的力量。</w:t>
      </w:r>
      <w:r>
        <w:rPr>
          <w:rFonts w:hint="eastAsia" w:ascii="仿宋" w:hAnsi="仿宋" w:eastAsia="仿宋" w:cs="仿宋"/>
          <w:sz w:val="30"/>
          <w:szCs w:val="30"/>
          <w:lang w:val="en-US" w:eastAsia="zh-CN"/>
        </w:rPr>
        <w:t>2.</w:t>
      </w:r>
      <w:r>
        <w:rPr>
          <w:rFonts w:hint="eastAsia" w:ascii="仿宋" w:hAnsi="仿宋" w:eastAsia="仿宋" w:cs="仿宋"/>
          <w:sz w:val="30"/>
          <w:szCs w:val="30"/>
        </w:rPr>
        <w:t>培训工作准备充分在创业培训班开班前，及时到区就业局、市就业局对培训班申请表进行报批，严格按照开班要求到就业训练中心订购教材</w:t>
      </w:r>
      <w:r>
        <w:rPr>
          <w:rFonts w:hint="eastAsia" w:ascii="仿宋" w:hAnsi="仿宋" w:eastAsia="仿宋" w:cs="仿宋"/>
          <w:sz w:val="30"/>
          <w:szCs w:val="30"/>
          <w:lang w:eastAsia="zh-CN"/>
        </w:rPr>
        <w:t>，</w:t>
      </w:r>
      <w:r>
        <w:rPr>
          <w:rFonts w:hint="eastAsia" w:ascii="仿宋" w:hAnsi="仿宋" w:eastAsia="仿宋" w:cs="仿宋"/>
          <w:sz w:val="30"/>
          <w:szCs w:val="30"/>
        </w:rPr>
        <w:t>为培训班顺利开展工作奠定了基础。</w:t>
      </w:r>
    </w:p>
    <w:p>
      <w:pPr>
        <w:ind w:firstLine="602" w:firstLineChars="200"/>
        <w:outlineLvl w:val="0"/>
        <w:rPr>
          <w:rFonts w:hint="default" w:ascii="仿宋" w:hAnsi="仿宋" w:eastAsia="仿宋" w:cs="仿宋"/>
          <w:b/>
          <w:bCs/>
          <w:sz w:val="30"/>
          <w:szCs w:val="30"/>
          <w:lang w:val="en-US" w:eastAsia="zh-CN"/>
        </w:rPr>
      </w:pPr>
      <w:bookmarkStart w:id="37" w:name="_Toc12267"/>
      <w:r>
        <w:rPr>
          <w:rFonts w:hint="eastAsia" w:ascii="仿宋" w:hAnsi="仿宋" w:eastAsia="仿宋" w:cs="仿宋"/>
          <w:b/>
          <w:bCs/>
          <w:sz w:val="30"/>
          <w:szCs w:val="30"/>
          <w:lang w:val="en-US" w:eastAsia="zh-CN"/>
        </w:rPr>
        <w:t>七、党建工作</w:t>
      </w:r>
    </w:p>
    <w:p>
      <w:pPr>
        <w:ind w:firstLine="600" w:firstLineChars="200"/>
        <w:outlineLvl w:val="0"/>
        <w:rPr>
          <w:rFonts w:hint="eastAsia" w:ascii="仿宋" w:hAnsi="仿宋" w:eastAsia="仿宋" w:cs="仿宋"/>
          <w:b/>
          <w:bCs/>
          <w:sz w:val="30"/>
          <w:szCs w:val="30"/>
          <w:lang w:val="en-US" w:eastAsia="zh-CN"/>
        </w:rPr>
      </w:pPr>
      <w:r>
        <w:rPr>
          <w:rFonts w:hint="eastAsia" w:ascii="仿宋" w:hAnsi="仿宋" w:eastAsia="仿宋" w:cs="仿宋"/>
          <w:sz w:val="30"/>
          <w:szCs w:val="30"/>
          <w:lang w:val="en-US" w:eastAsia="zh-CN"/>
        </w:rPr>
        <w:t>学校</w:t>
      </w:r>
      <w:r>
        <w:rPr>
          <w:rFonts w:hint="eastAsia" w:ascii="仿宋" w:hAnsi="仿宋" w:eastAsia="仿宋" w:cs="仿宋"/>
          <w:sz w:val="30"/>
          <w:szCs w:val="30"/>
          <w:lang w:eastAsia="zh-CN"/>
        </w:rPr>
        <w:t>以</w:t>
      </w:r>
      <w:r>
        <w:rPr>
          <w:rFonts w:hint="eastAsia" w:ascii="仿宋" w:hAnsi="仿宋" w:eastAsia="仿宋" w:cs="仿宋"/>
          <w:spacing w:val="8"/>
          <w:sz w:val="30"/>
          <w:szCs w:val="30"/>
          <w:lang w:eastAsia="zh-CN"/>
        </w:rPr>
        <w:t>习近平</w:t>
      </w:r>
      <w:r>
        <w:rPr>
          <w:rFonts w:hint="eastAsia" w:ascii="仿宋" w:hAnsi="仿宋" w:eastAsia="仿宋" w:cs="仿宋"/>
          <w:spacing w:val="8"/>
          <w:sz w:val="30"/>
          <w:szCs w:val="30"/>
        </w:rPr>
        <w:t>新时代中国特色社会主义思想</w:t>
      </w:r>
      <w:r>
        <w:rPr>
          <w:rFonts w:hint="eastAsia" w:ascii="仿宋" w:hAnsi="仿宋" w:eastAsia="仿宋" w:cs="仿宋"/>
          <w:spacing w:val="8"/>
          <w:sz w:val="30"/>
          <w:szCs w:val="30"/>
          <w:lang w:eastAsia="zh-CN"/>
        </w:rPr>
        <w:t>为指导，</w:t>
      </w:r>
      <w:r>
        <w:rPr>
          <w:rFonts w:hint="eastAsia" w:ascii="仿宋" w:hAnsi="仿宋" w:eastAsia="仿宋" w:cs="仿宋"/>
          <w:sz w:val="30"/>
          <w:szCs w:val="30"/>
        </w:rPr>
        <w:t>紧紧围绕党组织标准化规范化建设等工作，</w:t>
      </w:r>
      <w:r>
        <w:rPr>
          <w:rFonts w:hint="eastAsia" w:ascii="仿宋" w:hAnsi="仿宋" w:eastAsia="仿宋" w:cs="仿宋"/>
          <w:color w:val="333333"/>
          <w:sz w:val="30"/>
          <w:szCs w:val="30"/>
          <w:shd w:val="clear" w:color="auto" w:fill="FFFFFF"/>
        </w:rPr>
        <w:t>进一步加强党的组织建设、作风建设和党风廉政建设、加强党员干部和教职工政治思想教育，增加党的凝聚力，</w:t>
      </w:r>
      <w:r>
        <w:rPr>
          <w:rFonts w:hint="eastAsia" w:ascii="仿宋" w:hAnsi="仿宋" w:eastAsia="仿宋" w:cs="仿宋"/>
          <w:sz w:val="30"/>
          <w:szCs w:val="30"/>
        </w:rPr>
        <w:t>为学校全面、协调、可持续发展带给有力的思想保证、政治保证和组织保证。</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1.</w:t>
      </w:r>
      <w:r>
        <w:rPr>
          <w:rFonts w:hint="default" w:ascii="仿宋" w:hAnsi="仿宋" w:eastAsia="仿宋" w:cs="仿宋"/>
          <w:sz w:val="30"/>
          <w:szCs w:val="30"/>
          <w:lang w:val="en-US" w:eastAsia="zh-CN"/>
        </w:rPr>
        <w:t>继续深化学习，巩固和扩大学习实践活动成果</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坚持以党的政治建设为统领，全面贯彻习近平新时代中国特色社会主义思想，深入学习贯彻党的二十大精神，认真学习贯彻习近平总书记关于主题教育重要讲话和重要指示，结合主题教育工作要求，通过“三会一课”、主题党日等多种形式，运用学习先进事迹材料、观看视频资料、交流研讨等方式方法，丰富内容形式，提升学习效果，引导广大党员干部学先进、争先进、当先进，进一步增强思想只觉、行动只觉，推动理论学习和主题教育不断走深走实。</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严格执行《中国共产党党委（党组）理论学习中心组学习规则》，坚持集中学习与自主学习相结合的制度，印发《中共阜阳工业经济学校党委理论学习中心组2023年度学习计划》《阜阳工业经济学校2023年党建工作要点》、校党委学习资料8期、主题教育学习资料汇编2期。坚持落实第一议题制度和领学制度，坚持研究问题做出决策前首先学习对标，本学期召开党委会17次，召开中心组学习扩大会19次，传达学习习近平总书记系列重要讲话指示批示精神62篇，做到学深悟透、融会贯通、真信笃行，指导推动学校高质量发展。</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2.</w:t>
      </w:r>
      <w:r>
        <w:rPr>
          <w:rFonts w:hint="default" w:ascii="仿宋" w:hAnsi="仿宋" w:eastAsia="仿宋" w:cs="仿宋"/>
          <w:sz w:val="30"/>
          <w:szCs w:val="30"/>
          <w:lang w:val="en-US" w:eastAsia="zh-CN"/>
        </w:rPr>
        <w:t>聚焦党建责任，夯实基层组织</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1）强化基层组织建设。按照《关于阜阳工业经济学校基层党支部设置和选举工作的通知》要求，2023年1月，召开新一届基层党支部委员会选举大会，选举产生新一届支部委员会。将原有的7个党支部优化调整为4个党支部，规范了支部建设。</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（2）扎实做好2023年度党员数据库维护工作。</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（3）深入学习习近平总书记关于巩固拓展脱贫攻坚成果同乡村振兴有效衔接的重要论述，按照我校帮扶工作实施方案，组织党员干部开展帮扶调研、慰问、走访等活动，助推乡村振兴工作。</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4）认真按照市直工委和上级要求，集中购买党的二十大精神和习近平新时代中国特色社会主义思想学习刚要等相关读物。截至目前，上级指定书目均已征订完毕。征订工作不仅充实了我校图书角，也丰富了党员干部职工的学习资料。</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5）加强党的基层组织建设，严格党员管理和教育。认真组织召开2022年度民主生活会、组织生活会、民主评议党员等工作，全方位提升组织生活质效。印发《阜阳工业经济学校基层党支部党建工作量化考核暂行办法》，10月份对基层各党支部上半年党建工作进行了量化考核，做到了对党员的教育、管理和服务的有机结合，使党内生活制度化、规范化。积极宣传报道学校重点工作。认真做好党员组织关系接转和党费收缴工作，及时向上级报送有关报表和党建信息。</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6）扎实推进“学习强国”学习平台学习工作。召开党建工作暨宣传思想和意识形态工作部署推进会，通报了2023年上半年学习强国平台运用情况，表彰了学习强国“个人之星”“进步之星”和“管理之星”，并现场为获奖代表颁发了荣誉证书。营造争先进位大学习的意识，提升学习实效。</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3.</w:t>
      </w:r>
      <w:r>
        <w:rPr>
          <w:rFonts w:hint="default" w:ascii="仿宋" w:hAnsi="仿宋" w:eastAsia="仿宋" w:cs="仿宋"/>
          <w:sz w:val="30"/>
          <w:szCs w:val="30"/>
          <w:lang w:val="en" w:eastAsia="zh-CN"/>
        </w:rPr>
        <w:t>坚持问题导向，推动巡察问题整改</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在巡察整改工作中，坚持以问题为导向，推动整改工作落实。根据整改台账在动员部署会上研究讨论任务分解，制定整改工作方案，明确整改责任时限、细化整改任务及整改措施，责任到人。印发了《阜阳工业经济学校党委关于落实市委第三巡察组巡察反馈意见整改方案》《阜阳工业经济学校党委关于意识形态工作责任制落实情况专项巡察反馈意见整改方案》，针对选人用人专项巡察整改、意识形态专项巡察整改，与党委巡察整改同研究、同部署，分别制定了整改工作方案，统筹推进、一体落实。巡察整改工作期间，协调推动召开巡察整改专题会9次，周报告会6次，调度会6次，确保整改任务的落实。</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4.</w:t>
      </w:r>
      <w:r>
        <w:rPr>
          <w:rFonts w:hint="default" w:ascii="仿宋" w:hAnsi="仿宋" w:eastAsia="仿宋" w:cs="仿宋"/>
          <w:sz w:val="30"/>
          <w:szCs w:val="30"/>
          <w:lang w:val="en-US" w:eastAsia="zh-CN"/>
        </w:rPr>
        <w:t>落实党风廉政建设“两个责任”</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 xml:space="preserve">印发《阜阳工业经济学校2023年党风廉政建设和反腐败工作任务分解》的通知，召开党风廉政建设工作会议，开展2023年上半年落实全面从严治党责任情况自查，签订了党风廉政建设责任书，梳理廉政风险点36条，制定了具体整改措施，推动党风廉政建设各项工作落到实处。组织集中观看廉政警示片、意识形态警示教育视频，学习省委典型泄密案例的有关文件，对教育方面及相关案例进行深入剖析；深刻领会新形势下反腐倡廉的重大意义，筑牢反腐防线，让党员干部知敬畏存戒惧，守底线。 </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5.</w:t>
      </w:r>
      <w:r>
        <w:rPr>
          <w:rFonts w:hint="default" w:ascii="仿宋" w:hAnsi="仿宋" w:eastAsia="仿宋" w:cs="仿宋"/>
          <w:sz w:val="30"/>
          <w:szCs w:val="30"/>
          <w:lang w:val="en-US" w:eastAsia="zh-CN"/>
        </w:rPr>
        <w:t>加强意识形态工作基本情况</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1）“以党建带团建、团建促党建”为抓手，强化学生思想道德教育。积极与校团委配合，组织宣传报道师生党的二十大精神“微宣讲”进班级，国旗下宣讲、主题黑板报、团员集体入团宣誓、读书分享会、开展以“挺膺担当”为核心的团员和青年主题教育学习，到阜阳革命烈士纪念馆、党史馆、王家坝红色教育基地开展党史学习和警示教育活动等活动。积极组织各支部党员登陆共产党员网、“安徽先锋”党员教育平台主题教育学习视频专题网页学习，引导广大党员干部学习宣传贯彻党的二十大精神，牢牢把握意识形态主动权。</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（2）做好“正能量”宣传报道。积极宣传报道学校开展关爱孤寡老人、慰问困难党员和驻村帮扶干部、资助帮扶家庭困难学生等活动，弘扬主旋律，激发正能量。</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 xml:space="preserve">（3）定期进行意识形态分析研判。印发《阜阳工业经济学校2023年度宣传思想和意识形态工作责任清单》的通知，将宣传思想和意识形态工作纳入学校党建工作和重要议事日程。组织召开党建工作暨宣传思想和意识形态工作部署推进会，传达学习习近平总书记关于意识形态工作的系列重要讲话指示精神和意识形态相关密件，分析研判意识形态领域中可能出现的新问题，研究部署下步工作，同时将意识形态工作作为班子成员民主生活会和述职报告的一项重要内容。组织召开新任党支部书记集体谈话会、支部书记述职评议会、党风廉政建设等会议，观看意识形态教育视频，按时向市委上报意识形态工作情况，要求各支部分别进行意识形态工作总结和分析研判，切实把意识形态工作责任制落到实处。 </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4）坚持把各类活动作为意识形态工作的重要载体，把握重要时间节点。紧扣庆祝中国共产党成立102周年，印发关于开展迎“七一”系列活动的通知，指导各支部开展相关主题活动。认真做好市直“两优一先”推荐工作，部分党员荣获2022年度“阜阳市青年岗位能手”、2022年度市直三八红旗手、2022年度阜阳市直优秀共产党员、市财政局（市国资委）优秀共产党员、优秀党务工作者荣誉称号，切实增强了党员干部的责任感、使命感和荣誉感。</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（5）阵地管理得到加强。信息发布严格按照部门负责人、分管领导、主管领导三级审核制，层层把关、专人负责，加大对新闻发布内容审核，确保了信息发布的准确性。</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6.</w:t>
      </w:r>
      <w:r>
        <w:rPr>
          <w:rFonts w:hint="default" w:ascii="仿宋" w:hAnsi="仿宋" w:eastAsia="仿宋" w:cs="仿宋"/>
          <w:sz w:val="30"/>
          <w:szCs w:val="30"/>
          <w:lang w:val="en-US" w:eastAsia="zh-CN"/>
        </w:rPr>
        <w:t>深化文明校园创建活动</w:t>
      </w:r>
    </w:p>
    <w:p>
      <w:pPr>
        <w:ind w:firstLine="600" w:firstLineChars="200"/>
        <w:outlineLvl w:val="0"/>
        <w:rPr>
          <w:rFonts w:hint="default" w:ascii="仿宋" w:hAnsi="仿宋" w:eastAsia="仿宋" w:cs="仿宋"/>
          <w:sz w:val="30"/>
          <w:szCs w:val="30"/>
          <w:lang w:val="en-US" w:eastAsia="zh-CN"/>
        </w:rPr>
      </w:pPr>
      <w:r>
        <w:rPr>
          <w:rFonts w:hint="default" w:ascii="仿宋" w:hAnsi="仿宋" w:eastAsia="仿宋" w:cs="仿宋"/>
          <w:sz w:val="30"/>
          <w:szCs w:val="30"/>
          <w:lang w:val="en-US" w:eastAsia="zh-CN"/>
        </w:rPr>
        <w:t>文明始于心，创建践于行。校文明办积极组织参加宣传报道丰富多彩，健康向上的校园文化艺术节系列活动。积极响应市文明办要求，利用春节、清明节、端午节、重阳节等重要节日组织开展“我们的节日”活动。组织志愿者开展交通秩序维护、环境整治、敬老院慰问、爱心助考等志愿服务活动，积极营造校园精神文明创建氛围。</w:t>
      </w:r>
    </w:p>
    <w:p>
      <w:pPr>
        <w:ind w:firstLine="600" w:firstLineChars="200"/>
        <w:outlineLvl w:val="0"/>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7.</w:t>
      </w:r>
      <w:r>
        <w:rPr>
          <w:rFonts w:hint="default" w:ascii="仿宋" w:hAnsi="仿宋" w:eastAsia="仿宋" w:cs="仿宋"/>
          <w:sz w:val="30"/>
          <w:szCs w:val="30"/>
          <w:lang w:val="en-US" w:eastAsia="zh-CN"/>
        </w:rPr>
        <w:t>加强组织领导、推动主题教育走实</w:t>
      </w:r>
    </w:p>
    <w:p>
      <w:pPr>
        <w:ind w:firstLine="600" w:firstLineChars="200"/>
        <w:outlineLvl w:val="0"/>
        <w:rPr>
          <w:rFonts w:hint="eastAsia" w:ascii="仿宋" w:hAnsi="仿宋" w:eastAsia="仿宋" w:cs="仿宋"/>
          <w:b/>
          <w:bCs/>
          <w:sz w:val="30"/>
          <w:szCs w:val="30"/>
          <w:lang w:val="en-US" w:eastAsia="zh-CN"/>
        </w:rPr>
      </w:pPr>
      <w:r>
        <w:rPr>
          <w:rFonts w:hint="eastAsia" w:ascii="仿宋" w:hAnsi="仿宋" w:eastAsia="仿宋" w:cs="仿宋"/>
          <w:sz w:val="30"/>
          <w:szCs w:val="30"/>
          <w:lang w:val="en-US" w:eastAsia="zh-CN"/>
        </w:rPr>
        <w:t>学校</w:t>
      </w:r>
      <w:r>
        <w:rPr>
          <w:rFonts w:hint="default" w:ascii="仿宋" w:hAnsi="仿宋" w:eastAsia="仿宋" w:cs="仿宋"/>
          <w:sz w:val="30"/>
          <w:szCs w:val="30"/>
          <w:lang w:val="en-US" w:eastAsia="zh-CN"/>
        </w:rPr>
        <w:t>第一时间组织召开党委会、中心组学习扩大会，传达学习中央、省、市主题教育办相关会议和文件精神，教育引导全校党员干部充分认识开展主题教育的重大意义，以高度政治感和使命感积极投入到主题教育中来。制定主题教育方案，建立任务清单，细化明确具体任务，成立主题教育领导小组及办公室，加强对主题教育工作的组织领导、统筹协调，形成推进全校主题教育深入开展的强大合力。</w:t>
      </w:r>
    </w:p>
    <w:p>
      <w:pPr>
        <w:ind w:firstLine="480" w:firstLineChars="200"/>
        <w:jc w:val="center"/>
        <w:outlineLvl w:val="0"/>
        <w:rPr>
          <w:rFonts w:hint="eastAsia" w:ascii="仿宋" w:hAnsi="仿宋" w:eastAsia="仿宋" w:cs="仿宋"/>
          <w:b/>
          <w:bCs/>
          <w:sz w:val="30"/>
          <w:szCs w:val="30"/>
          <w:lang w:val="en-US" w:eastAsia="zh-CN"/>
        </w:rPr>
      </w:pPr>
      <w:r>
        <w:rPr>
          <w:rFonts w:ascii="宋体" w:hAnsi="宋体" w:eastAsia="宋体" w:cs="宋体"/>
          <w:sz w:val="24"/>
          <w:szCs w:val="24"/>
        </w:rPr>
        <w:drawing>
          <wp:inline distT="0" distB="0" distL="114300" distR="114300">
            <wp:extent cx="4729480" cy="2851785"/>
            <wp:effectExtent l="0" t="0" r="13970" b="571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29"/>
                    <a:stretch>
                      <a:fillRect/>
                    </a:stretch>
                  </pic:blipFill>
                  <pic:spPr>
                    <a:xfrm>
                      <a:off x="0" y="0"/>
                      <a:ext cx="4729480" cy="2851785"/>
                    </a:xfrm>
                    <a:prstGeom prst="rect">
                      <a:avLst/>
                    </a:prstGeom>
                    <a:noFill/>
                    <a:ln w="9525">
                      <a:noFill/>
                    </a:ln>
                  </pic:spPr>
                </pic:pic>
              </a:graphicData>
            </a:graphic>
          </wp:inline>
        </w:drawing>
      </w:r>
    </w:p>
    <w:p>
      <w:pPr>
        <w:ind w:firstLine="1687" w:firstLineChars="700"/>
        <w:outlineLvl w:val="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党委理论学习中心组—二十大精神专题学习会</w:t>
      </w:r>
    </w:p>
    <w:p>
      <w:pPr>
        <w:jc w:val="center"/>
        <w:outlineLvl w:val="0"/>
        <w:rPr>
          <w:rFonts w:hint="eastAsia" w:ascii="仿宋" w:hAnsi="仿宋" w:eastAsia="仿宋" w:cs="仿宋"/>
          <w:b/>
          <w:bCs/>
          <w:sz w:val="30"/>
          <w:szCs w:val="30"/>
          <w:lang w:val="en-US" w:eastAsia="zh-CN"/>
        </w:rPr>
      </w:pPr>
      <w:r>
        <w:rPr>
          <w:rFonts w:ascii="宋体" w:hAnsi="宋体" w:eastAsia="宋体" w:cs="宋体"/>
          <w:sz w:val="24"/>
          <w:szCs w:val="24"/>
        </w:rPr>
        <w:drawing>
          <wp:inline distT="0" distB="0" distL="114300" distR="114300">
            <wp:extent cx="4959350" cy="3141980"/>
            <wp:effectExtent l="0" t="0" r="12700" b="12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30"/>
                    <a:stretch>
                      <a:fillRect/>
                    </a:stretch>
                  </pic:blipFill>
                  <pic:spPr>
                    <a:xfrm>
                      <a:off x="0" y="0"/>
                      <a:ext cx="4959350" cy="3141980"/>
                    </a:xfrm>
                    <a:prstGeom prst="rect">
                      <a:avLst/>
                    </a:prstGeom>
                    <a:noFill/>
                    <a:ln w="9525">
                      <a:noFill/>
                    </a:ln>
                  </pic:spPr>
                </pic:pic>
              </a:graphicData>
            </a:graphic>
          </wp:inline>
        </w:drawing>
      </w:r>
    </w:p>
    <w:p>
      <w:pPr>
        <w:ind w:firstLine="2891" w:firstLineChars="1200"/>
        <w:outlineLvl w:val="0"/>
        <w:rPr>
          <w:rFonts w:hint="eastAsia" w:ascii="仿宋" w:hAnsi="仿宋" w:eastAsia="仿宋" w:cs="仿宋"/>
          <w:b/>
          <w:bCs/>
          <w:sz w:val="30"/>
          <w:szCs w:val="30"/>
          <w:lang w:val="en-US" w:eastAsia="zh-CN"/>
        </w:rPr>
      </w:pPr>
      <w:r>
        <w:rPr>
          <w:rFonts w:hint="eastAsia" w:ascii="仿宋" w:hAnsi="仿宋" w:eastAsia="仿宋" w:cs="仿宋"/>
          <w:b/>
          <w:bCs/>
          <w:sz w:val="24"/>
          <w:szCs w:val="24"/>
          <w:lang w:val="en-US" w:eastAsia="zh-CN"/>
        </w:rPr>
        <w:t>意识形态工作专题会</w:t>
      </w:r>
    </w:p>
    <w:p>
      <w:pPr>
        <w:ind w:firstLine="480" w:firstLineChars="200"/>
        <w:outlineLvl w:val="0"/>
        <w:rPr>
          <w:rFonts w:hint="eastAsia" w:ascii="仿宋" w:hAnsi="仿宋" w:eastAsia="仿宋" w:cs="仿宋"/>
          <w:b/>
          <w:bCs/>
          <w:sz w:val="30"/>
          <w:szCs w:val="30"/>
          <w:lang w:val="en-US" w:eastAsia="zh-CN"/>
        </w:rPr>
      </w:pPr>
      <w:r>
        <w:rPr>
          <w:rFonts w:ascii="宋体" w:hAnsi="宋体" w:eastAsia="宋体" w:cs="宋体"/>
          <w:sz w:val="24"/>
          <w:szCs w:val="24"/>
        </w:rPr>
        <w:drawing>
          <wp:inline distT="0" distB="0" distL="114300" distR="114300">
            <wp:extent cx="4874895" cy="3420745"/>
            <wp:effectExtent l="0" t="0" r="1905" b="8255"/>
            <wp:docPr id="1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6"/>
                    <pic:cNvPicPr>
                      <a:picLocks noChangeAspect="1"/>
                    </pic:cNvPicPr>
                  </pic:nvPicPr>
                  <pic:blipFill>
                    <a:blip r:embed="rId31"/>
                    <a:stretch>
                      <a:fillRect/>
                    </a:stretch>
                  </pic:blipFill>
                  <pic:spPr>
                    <a:xfrm>
                      <a:off x="0" y="0"/>
                      <a:ext cx="4874895" cy="3420745"/>
                    </a:xfrm>
                    <a:prstGeom prst="rect">
                      <a:avLst/>
                    </a:prstGeom>
                    <a:noFill/>
                    <a:ln w="9525">
                      <a:noFill/>
                    </a:ln>
                  </pic:spPr>
                </pic:pic>
              </a:graphicData>
            </a:graphic>
          </wp:inline>
        </w:drawing>
      </w:r>
    </w:p>
    <w:p>
      <w:pPr>
        <w:ind w:firstLine="482" w:firstLineChars="200"/>
        <w:jc w:val="center"/>
        <w:outlineLvl w:val="0"/>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弘扬王家坝精神主题党日活动</w:t>
      </w:r>
    </w:p>
    <w:p>
      <w:pPr>
        <w:ind w:firstLine="602" w:firstLineChars="200"/>
        <w:outlineLvl w:val="0"/>
        <w:rPr>
          <w:rFonts w:hint="eastAsia" w:ascii="仿宋" w:hAnsi="仿宋" w:eastAsia="仿宋" w:cs="仿宋"/>
          <w:b/>
          <w:bCs/>
          <w:sz w:val="30"/>
          <w:szCs w:val="30"/>
          <w:lang w:val="en-US" w:eastAsia="zh-CN"/>
        </w:rPr>
      </w:pPr>
    </w:p>
    <w:p>
      <w:pPr>
        <w:ind w:firstLine="602" w:firstLineChars="200"/>
        <w:outlineLvl w:val="0"/>
        <w:rPr>
          <w:rFonts w:hint="eastAsia" w:ascii="仿宋" w:hAnsi="仿宋" w:eastAsia="仿宋" w:cs="仿宋"/>
          <w:b/>
          <w:bCs/>
          <w:sz w:val="30"/>
          <w:szCs w:val="30"/>
          <w:lang w:val="en-US" w:eastAsia="zh-CN"/>
        </w:rPr>
      </w:pPr>
    </w:p>
    <w:p>
      <w:pPr>
        <w:ind w:firstLine="602" w:firstLineChars="200"/>
        <w:outlineLvl w:val="0"/>
        <w:rPr>
          <w:rFonts w:hint="eastAsia" w:ascii="仿宋" w:hAnsi="仿宋" w:eastAsia="仿宋" w:cs="仿宋"/>
          <w:b/>
          <w:bCs/>
          <w:sz w:val="30"/>
          <w:szCs w:val="30"/>
          <w:lang w:val="en-US" w:eastAsia="zh-CN"/>
        </w:rPr>
      </w:pPr>
    </w:p>
    <w:p>
      <w:pPr>
        <w:ind w:firstLine="602" w:firstLineChars="200"/>
        <w:outlineLvl w:val="0"/>
        <w:rPr>
          <w:rFonts w:hint="eastAsia" w:ascii="仿宋" w:hAnsi="仿宋" w:eastAsia="仿宋" w:cs="仿宋"/>
          <w:b/>
          <w:bCs/>
          <w:sz w:val="30"/>
          <w:szCs w:val="30"/>
          <w:lang w:val="en-US" w:eastAsia="zh-CN"/>
        </w:rPr>
      </w:pPr>
    </w:p>
    <w:p>
      <w:pPr>
        <w:ind w:firstLine="602" w:firstLineChars="200"/>
        <w:outlineLvl w:val="0"/>
        <w:rPr>
          <w:rFonts w:hint="default" w:ascii="仿宋" w:hAnsi="仿宋" w:eastAsia="仿宋" w:cs="仿宋"/>
          <w:b/>
          <w:bCs/>
          <w:sz w:val="30"/>
          <w:szCs w:val="30"/>
          <w:lang w:val="en-US" w:eastAsia="zh-CN"/>
        </w:rPr>
      </w:pPr>
      <w:r>
        <w:rPr>
          <w:rFonts w:hint="eastAsia" w:ascii="仿宋" w:hAnsi="仿宋" w:eastAsia="仿宋" w:cs="仿宋"/>
          <w:b/>
          <w:bCs/>
          <w:sz w:val="30"/>
          <w:szCs w:val="30"/>
          <w:lang w:val="en-US" w:eastAsia="zh-CN"/>
        </w:rPr>
        <w:t>八、挑战与展望</w:t>
      </w:r>
      <w:bookmarkEnd w:id="37"/>
    </w:p>
    <w:p>
      <w:pPr>
        <w:keepNext w:val="0"/>
        <w:keepLines w:val="0"/>
        <w:pageBreakBefore w:val="0"/>
        <w:kinsoku/>
        <w:wordWrap/>
        <w:overflowPunct/>
        <w:topLinePunct w:val="0"/>
        <w:bidi w:val="0"/>
        <w:spacing w:line="360" w:lineRule="auto"/>
        <w:ind w:right="0" w:firstLine="480"/>
        <w:textAlignment w:val="auto"/>
        <w:outlineLvl w:val="1"/>
        <w:rPr>
          <w:rFonts w:hint="eastAsia" w:ascii="仿宋" w:hAnsi="仿宋" w:eastAsia="仿宋" w:cs="仿宋"/>
          <w:b/>
          <w:spacing w:val="-6"/>
          <w:sz w:val="30"/>
          <w:szCs w:val="30"/>
          <w:lang w:eastAsia="zh-CN"/>
        </w:rPr>
      </w:pPr>
      <w:bookmarkStart w:id="38" w:name="_Toc25825"/>
      <w:r>
        <w:rPr>
          <w:rFonts w:hint="eastAsia" w:ascii="仿宋" w:hAnsi="仿宋" w:eastAsia="仿宋" w:cs="仿宋"/>
          <w:b/>
          <w:spacing w:val="-6"/>
          <w:sz w:val="30"/>
          <w:szCs w:val="30"/>
          <w:lang w:eastAsia="zh-CN"/>
        </w:rPr>
        <w:t>（</w:t>
      </w:r>
      <w:r>
        <w:rPr>
          <w:rFonts w:hint="eastAsia" w:ascii="仿宋" w:hAnsi="仿宋" w:eastAsia="仿宋" w:cs="仿宋"/>
          <w:b/>
          <w:spacing w:val="-6"/>
          <w:sz w:val="30"/>
          <w:szCs w:val="30"/>
          <w:lang w:val="en-US" w:eastAsia="zh-CN"/>
        </w:rPr>
        <w:t>一）面临挑战</w:t>
      </w:r>
      <w:bookmarkEnd w:id="38"/>
    </w:p>
    <w:p>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39" w:name="_Toc22036"/>
      <w:r>
        <w:rPr>
          <w:rFonts w:hint="eastAsia" w:ascii="仿宋" w:hAnsi="仿宋" w:eastAsia="仿宋" w:cs="仿宋"/>
          <w:b/>
          <w:spacing w:val="-6"/>
          <w:sz w:val="30"/>
          <w:szCs w:val="30"/>
        </w:rPr>
        <w:t>1.办学条件有待进一步改善</w:t>
      </w:r>
      <w:bookmarkEnd w:id="39"/>
    </w:p>
    <w:p>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b/>
          <w:spacing w:val="-6"/>
          <w:sz w:val="30"/>
          <w:szCs w:val="30"/>
        </w:rPr>
      </w:pPr>
      <w:r>
        <w:rPr>
          <w:rFonts w:hint="eastAsia" w:ascii="仿宋" w:hAnsi="仿宋" w:eastAsia="仿宋" w:cs="仿宋"/>
          <w:spacing w:val="-6"/>
          <w:sz w:val="30"/>
          <w:szCs w:val="30"/>
        </w:rPr>
        <w:t>学校现有3个校区且距离较远，不利于学校工作统筹和协调和集中统一管理，新校区的建设使用需加快推进。</w:t>
      </w:r>
    </w:p>
    <w:p>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0" w:name="_Toc28199"/>
      <w:r>
        <w:rPr>
          <w:rFonts w:hint="eastAsia" w:ascii="仿宋" w:hAnsi="仿宋" w:eastAsia="仿宋" w:cs="仿宋"/>
          <w:b/>
          <w:spacing w:val="-6"/>
          <w:sz w:val="30"/>
          <w:szCs w:val="30"/>
        </w:rPr>
        <w:t>2.产教融合有待进一步深化</w:t>
      </w:r>
      <w:bookmarkEnd w:id="40"/>
    </w:p>
    <w:p>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各专业产教融合、校企合作的深度、广度和效果，还不能很好助推地方经济发展，一些专业还存在产教合而不融、校企合作合而不深等现象。</w:t>
      </w:r>
    </w:p>
    <w:p>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1" w:name="_Toc20247"/>
      <w:r>
        <w:rPr>
          <w:rFonts w:hint="eastAsia" w:ascii="仿宋" w:hAnsi="仿宋" w:eastAsia="仿宋" w:cs="仿宋"/>
          <w:b/>
          <w:spacing w:val="-6"/>
          <w:sz w:val="30"/>
          <w:szCs w:val="30"/>
        </w:rPr>
        <w:t>3.师资水平有待进一步提高</w:t>
      </w:r>
      <w:bookmarkEnd w:id="41"/>
    </w:p>
    <w:p>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学校现有教师整体素养和能力还不能完全满足新时代中职教育高质量发展的要求，缺少高层次高水平且具有全国影响力的大师名师。</w:t>
      </w:r>
    </w:p>
    <w:p>
      <w:pPr>
        <w:keepNext w:val="0"/>
        <w:keepLines w:val="0"/>
        <w:pageBreakBefore w:val="0"/>
        <w:kinsoku/>
        <w:wordWrap/>
        <w:overflowPunct/>
        <w:topLinePunct w:val="0"/>
        <w:bidi w:val="0"/>
        <w:spacing w:line="360" w:lineRule="auto"/>
        <w:ind w:right="0" w:firstLine="480"/>
        <w:textAlignment w:val="auto"/>
        <w:outlineLvl w:val="1"/>
        <w:rPr>
          <w:rFonts w:hint="default" w:ascii="仿宋" w:hAnsi="仿宋" w:eastAsia="仿宋" w:cs="仿宋"/>
          <w:b/>
          <w:spacing w:val="-6"/>
          <w:sz w:val="30"/>
          <w:szCs w:val="30"/>
          <w:lang w:val="en-US" w:eastAsia="zh-CN"/>
        </w:rPr>
      </w:pPr>
      <w:bookmarkStart w:id="42" w:name="_Toc11326"/>
      <w:r>
        <w:rPr>
          <w:rFonts w:hint="eastAsia" w:ascii="仿宋" w:hAnsi="仿宋" w:eastAsia="仿宋" w:cs="仿宋"/>
          <w:b/>
          <w:spacing w:val="-6"/>
          <w:sz w:val="30"/>
          <w:szCs w:val="30"/>
        </w:rPr>
        <w:t>（二）</w:t>
      </w:r>
      <w:r>
        <w:rPr>
          <w:rFonts w:hint="eastAsia" w:ascii="仿宋" w:hAnsi="仿宋" w:eastAsia="仿宋" w:cs="仿宋"/>
          <w:b/>
          <w:spacing w:val="-6"/>
          <w:sz w:val="30"/>
          <w:szCs w:val="30"/>
          <w:lang w:val="en-US" w:eastAsia="zh-CN"/>
        </w:rPr>
        <w:t>未来展望</w:t>
      </w:r>
      <w:bookmarkEnd w:id="42"/>
    </w:p>
    <w:p>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3" w:name="_Toc25235"/>
      <w:r>
        <w:rPr>
          <w:rFonts w:hint="eastAsia" w:ascii="仿宋" w:hAnsi="仿宋" w:eastAsia="仿宋" w:cs="仿宋"/>
          <w:b/>
          <w:spacing w:val="-6"/>
          <w:sz w:val="30"/>
          <w:szCs w:val="30"/>
        </w:rPr>
        <w:t>1.加快新校区建设，提升办学条件</w:t>
      </w:r>
      <w:bookmarkEnd w:id="43"/>
    </w:p>
    <w:p>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加快推进新校区建设，加强学校实训基地设施建设，较大幅度更新教学仪器设备。加快智慧校园建设，促进现代信息技术与教育教学有机整合，全面提升学校办学基础保障能力。</w:t>
      </w:r>
    </w:p>
    <w:p>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4" w:name="_Toc11560"/>
      <w:r>
        <w:rPr>
          <w:rFonts w:hint="eastAsia" w:ascii="仿宋" w:hAnsi="仿宋" w:eastAsia="仿宋" w:cs="仿宋"/>
          <w:b/>
          <w:spacing w:val="-6"/>
          <w:sz w:val="30"/>
          <w:szCs w:val="30"/>
        </w:rPr>
        <w:t>2.深化产教融合，提升校企合作水平</w:t>
      </w:r>
      <w:bookmarkEnd w:id="44"/>
    </w:p>
    <w:p>
      <w:pPr>
        <w:keepNext w:val="0"/>
        <w:keepLines w:val="0"/>
        <w:pageBreakBefore w:val="0"/>
        <w:kinsoku/>
        <w:wordWrap/>
        <w:overflowPunct/>
        <w:topLinePunct w:val="0"/>
        <w:bidi w:val="0"/>
        <w:spacing w:line="360" w:lineRule="auto"/>
        <w:ind w:right="0" w:firstLine="576" w:firstLineChars="200"/>
        <w:textAlignment w:val="auto"/>
        <w:rPr>
          <w:rFonts w:ascii="仿宋" w:hAnsi="仿宋" w:eastAsia="仿宋" w:cs="仿宋"/>
          <w:spacing w:val="-6"/>
          <w:sz w:val="30"/>
          <w:szCs w:val="30"/>
        </w:rPr>
      </w:pPr>
      <w:r>
        <w:rPr>
          <w:rFonts w:hint="eastAsia" w:ascii="仿宋" w:hAnsi="仿宋" w:eastAsia="仿宋" w:cs="仿宋"/>
          <w:spacing w:val="-6"/>
          <w:sz w:val="30"/>
          <w:szCs w:val="30"/>
        </w:rPr>
        <w:t>加速与行业内区域内龙头企业、骨干企业和工业园区深度融合，重点推进集团化办学，加快产业企业技术标准、资源要素、企业文化等融入专业建设和人才培养过程，建设校企合作共赢的利益共同体。</w:t>
      </w:r>
    </w:p>
    <w:p>
      <w:pPr>
        <w:keepNext w:val="0"/>
        <w:keepLines w:val="0"/>
        <w:pageBreakBefore w:val="0"/>
        <w:kinsoku/>
        <w:wordWrap/>
        <w:overflowPunct/>
        <w:topLinePunct w:val="0"/>
        <w:bidi w:val="0"/>
        <w:spacing w:line="360" w:lineRule="auto"/>
        <w:ind w:right="0" w:firstLine="578" w:firstLineChars="200"/>
        <w:textAlignment w:val="auto"/>
        <w:outlineLvl w:val="2"/>
        <w:rPr>
          <w:rFonts w:ascii="仿宋" w:hAnsi="仿宋" w:eastAsia="仿宋" w:cs="仿宋"/>
          <w:b/>
          <w:spacing w:val="-6"/>
          <w:sz w:val="30"/>
          <w:szCs w:val="30"/>
        </w:rPr>
      </w:pPr>
      <w:bookmarkStart w:id="45" w:name="_Toc16346"/>
      <w:r>
        <w:rPr>
          <w:rFonts w:hint="eastAsia" w:ascii="仿宋" w:hAnsi="仿宋" w:eastAsia="仿宋" w:cs="仿宋"/>
          <w:b/>
          <w:spacing w:val="-6"/>
          <w:sz w:val="30"/>
          <w:szCs w:val="30"/>
        </w:rPr>
        <w:t>3.强化内部治理，提升育人水平</w:t>
      </w:r>
      <w:bookmarkEnd w:id="45"/>
    </w:p>
    <w:p>
      <w:pPr>
        <w:spacing w:line="360" w:lineRule="auto"/>
        <w:ind w:firstLine="576" w:firstLineChars="200"/>
        <w:rPr>
          <w:rFonts w:hint="eastAsia" w:ascii="仿宋" w:hAnsi="仿宋" w:eastAsia="仿宋" w:cs="仿宋"/>
          <w:spacing w:val="-6"/>
          <w:sz w:val="30"/>
          <w:szCs w:val="30"/>
        </w:rPr>
      </w:pPr>
      <w:r>
        <w:rPr>
          <w:rFonts w:hint="eastAsia" w:ascii="仿宋" w:hAnsi="仿宋" w:eastAsia="仿宋" w:cs="仿宋"/>
          <w:spacing w:val="-6"/>
          <w:sz w:val="30"/>
          <w:szCs w:val="30"/>
        </w:rPr>
        <w:t>以建设高水平“双师型”师资队伍为目标，加强对青年教师培养，实施青蓝对接制度、企业锻炼制度、教学能力竞赛制度、信息教学能力达标等制度，全面提升教师教学能力、专业实践能力，实现教师队伍结构优化和能力整体提升。</w:t>
      </w:r>
    </w:p>
    <w:p>
      <w:pPr>
        <w:pStyle w:val="3"/>
        <w:outlineLvl w:val="9"/>
        <w:rPr>
          <w:rFonts w:hint="eastAsia" w:ascii="仿宋" w:hAnsi="仿宋" w:eastAsia="仿宋" w:cs="仿宋"/>
          <w:spacing w:val="-6"/>
          <w:sz w:val="32"/>
          <w:szCs w:val="32"/>
        </w:rPr>
      </w:pPr>
    </w:p>
    <w:p>
      <w:pPr>
        <w:rPr>
          <w:rFonts w:hint="eastAsia" w:ascii="仿宋" w:hAnsi="仿宋" w:eastAsia="仿宋" w:cs="仿宋"/>
          <w:spacing w:val="-6"/>
          <w:sz w:val="32"/>
          <w:szCs w:val="32"/>
        </w:rPr>
      </w:pPr>
    </w:p>
    <w:p>
      <w:pPr>
        <w:rPr>
          <w:rFonts w:hint="eastAsia" w:ascii="仿宋" w:hAnsi="仿宋" w:eastAsia="仿宋" w:cs="仿宋"/>
          <w:spacing w:val="-6"/>
          <w:sz w:val="32"/>
          <w:szCs w:val="32"/>
        </w:rPr>
      </w:pPr>
    </w:p>
    <w:p>
      <w:pPr>
        <w:rPr>
          <w:rFonts w:hint="eastAsia"/>
          <w:lang w:val="en-US" w:eastAsia="zh-CN"/>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algun Gothic">
    <w:panose1 w:val="020B0503020000020004"/>
    <w:charset w:val="81"/>
    <w:family w:val="auto"/>
    <w:pitch w:val="default"/>
    <w:sig w:usb0="900002AF" w:usb1="01D77CFB" w:usb2="00000012" w:usb3="00000000" w:csb0="00080001" w:csb1="00000000"/>
  </w:font>
  <w:font w:name="Arial Unicode MS">
    <w:altName w:val="Arial"/>
    <w:panose1 w:val="020B0604020202020204"/>
    <w:charset w:val="82"/>
    <w:family w:val="swiss"/>
    <w:pitch w:val="default"/>
    <w:sig w:usb0="00000000" w:usb1="00000000" w:usb2="0000003F" w:usb3="00000000" w:csb0="603F01FF" w:csb1="FFFF0000"/>
  </w:font>
  <w:font w:name="微软雅黑">
    <w:panose1 w:val="020B0503020204020204"/>
    <w:charset w:val="82"/>
    <w:family w:val="swiss"/>
    <w:pitch w:val="default"/>
    <w:sig w:usb0="80000287" w:usb1="280F3C52" w:usb2="00000016" w:usb3="00000000" w:csb0="0004001F" w:csb1="00000000"/>
  </w:font>
  <w:font w:name="monospace">
    <w:altName w:val="Segoe Print"/>
    <w:panose1 w:val="00000000000000000000"/>
    <w:charset w:val="00"/>
    <w:family w:val="auto"/>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楷体">
    <w:panose1 w:val="02010609060101010101"/>
    <w:charset w:val="34"/>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compressPunctuation"/>
  <w:hdrShapeDefaults>
    <o:shapelayout v:ext="edit">
      <o:idmap v:ext="edit" data="2"/>
    </o:shapelayout>
  </w:hdrShapeDefaults>
  <w:compat>
    <w:balanceSingleByteDoubleByteWidth/>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TljOGIxOTI2MzdmZjM2OTdmYzZhN2VmMTkwMDZlY2UifQ=="/>
    <w:docVar w:name="KSO_WPS_MARK_KEY" w:val="12a0aeef-b889-42f7-b1b4-4ad3254583b3"/>
  </w:docVars>
  <w:rsids>
    <w:rsidRoot w:val="00000000"/>
    <w:rsid w:val="005D25A7"/>
    <w:rsid w:val="007F0A1D"/>
    <w:rsid w:val="00861DAB"/>
    <w:rsid w:val="008764AE"/>
    <w:rsid w:val="00EF7950"/>
    <w:rsid w:val="00F66185"/>
    <w:rsid w:val="010F1DA1"/>
    <w:rsid w:val="01AF5332"/>
    <w:rsid w:val="01B41F6D"/>
    <w:rsid w:val="01E62DFC"/>
    <w:rsid w:val="02070FF7"/>
    <w:rsid w:val="022019B6"/>
    <w:rsid w:val="02951D9B"/>
    <w:rsid w:val="0371577B"/>
    <w:rsid w:val="039041C5"/>
    <w:rsid w:val="03914CEF"/>
    <w:rsid w:val="03A74512"/>
    <w:rsid w:val="040211AE"/>
    <w:rsid w:val="04161179"/>
    <w:rsid w:val="042B0D08"/>
    <w:rsid w:val="04A3056D"/>
    <w:rsid w:val="04B95A2E"/>
    <w:rsid w:val="04F762CB"/>
    <w:rsid w:val="05251153"/>
    <w:rsid w:val="054A1BBD"/>
    <w:rsid w:val="054E05CF"/>
    <w:rsid w:val="05AC0BCF"/>
    <w:rsid w:val="060E46A8"/>
    <w:rsid w:val="061F2A86"/>
    <w:rsid w:val="06653889"/>
    <w:rsid w:val="068B0867"/>
    <w:rsid w:val="06921407"/>
    <w:rsid w:val="06B10D93"/>
    <w:rsid w:val="06BC3ACE"/>
    <w:rsid w:val="07F728DC"/>
    <w:rsid w:val="08054AED"/>
    <w:rsid w:val="086F5EE4"/>
    <w:rsid w:val="08763713"/>
    <w:rsid w:val="089F239B"/>
    <w:rsid w:val="0939773D"/>
    <w:rsid w:val="0A3C1BB2"/>
    <w:rsid w:val="0A4F36E4"/>
    <w:rsid w:val="0A5F0E6F"/>
    <w:rsid w:val="0A9A6B7F"/>
    <w:rsid w:val="0AAA3AF0"/>
    <w:rsid w:val="0AB562EC"/>
    <w:rsid w:val="0B73441D"/>
    <w:rsid w:val="0BC1638D"/>
    <w:rsid w:val="0BD22349"/>
    <w:rsid w:val="0C0A1AE2"/>
    <w:rsid w:val="0C5E1B75"/>
    <w:rsid w:val="0C8949B3"/>
    <w:rsid w:val="0CBA765A"/>
    <w:rsid w:val="0D8A3740"/>
    <w:rsid w:val="0DA43BEC"/>
    <w:rsid w:val="0DB937C0"/>
    <w:rsid w:val="0E3F0951"/>
    <w:rsid w:val="0EC12BD7"/>
    <w:rsid w:val="0EEC0358"/>
    <w:rsid w:val="0FB703E0"/>
    <w:rsid w:val="0FB70B35"/>
    <w:rsid w:val="0FD923B7"/>
    <w:rsid w:val="0FE53B75"/>
    <w:rsid w:val="0FEB311C"/>
    <w:rsid w:val="105772C0"/>
    <w:rsid w:val="10664BD2"/>
    <w:rsid w:val="108C7444"/>
    <w:rsid w:val="10C5247C"/>
    <w:rsid w:val="11303813"/>
    <w:rsid w:val="11474213"/>
    <w:rsid w:val="117D64F6"/>
    <w:rsid w:val="11840FF3"/>
    <w:rsid w:val="11AC7198"/>
    <w:rsid w:val="11E83245"/>
    <w:rsid w:val="11F11B74"/>
    <w:rsid w:val="123F4C78"/>
    <w:rsid w:val="124D476A"/>
    <w:rsid w:val="124E524D"/>
    <w:rsid w:val="12C043E9"/>
    <w:rsid w:val="12C5601F"/>
    <w:rsid w:val="12D270D2"/>
    <w:rsid w:val="132D4320"/>
    <w:rsid w:val="13347C74"/>
    <w:rsid w:val="136A73C9"/>
    <w:rsid w:val="13A72281"/>
    <w:rsid w:val="13C62771"/>
    <w:rsid w:val="13D65F26"/>
    <w:rsid w:val="13DA7FEC"/>
    <w:rsid w:val="14067033"/>
    <w:rsid w:val="143C2A55"/>
    <w:rsid w:val="14424E72"/>
    <w:rsid w:val="149C18CD"/>
    <w:rsid w:val="14E505A4"/>
    <w:rsid w:val="153D6285"/>
    <w:rsid w:val="15853F88"/>
    <w:rsid w:val="159A3353"/>
    <w:rsid w:val="164976A9"/>
    <w:rsid w:val="16C41579"/>
    <w:rsid w:val="17732C32"/>
    <w:rsid w:val="17DC684E"/>
    <w:rsid w:val="17E2629B"/>
    <w:rsid w:val="1817496E"/>
    <w:rsid w:val="18CA02D9"/>
    <w:rsid w:val="193174AB"/>
    <w:rsid w:val="19443AD5"/>
    <w:rsid w:val="1987325D"/>
    <w:rsid w:val="19CD7E2B"/>
    <w:rsid w:val="1A0A3C26"/>
    <w:rsid w:val="1B4147AE"/>
    <w:rsid w:val="1BF7707F"/>
    <w:rsid w:val="1C1A0AB6"/>
    <w:rsid w:val="1C7902D5"/>
    <w:rsid w:val="1C896A53"/>
    <w:rsid w:val="1CF739BD"/>
    <w:rsid w:val="1CFA16FF"/>
    <w:rsid w:val="1D1E227F"/>
    <w:rsid w:val="1D2B5743"/>
    <w:rsid w:val="1D3045F3"/>
    <w:rsid w:val="1D4D65D3"/>
    <w:rsid w:val="1D720B42"/>
    <w:rsid w:val="1DCA58AB"/>
    <w:rsid w:val="1E0F2F88"/>
    <w:rsid w:val="1E1E1D0E"/>
    <w:rsid w:val="1EA31F7C"/>
    <w:rsid w:val="1ECE0FC9"/>
    <w:rsid w:val="1F2E0FD0"/>
    <w:rsid w:val="1F3E1D77"/>
    <w:rsid w:val="1F6F2E14"/>
    <w:rsid w:val="1FAF6654"/>
    <w:rsid w:val="1FFC0CCE"/>
    <w:rsid w:val="20550D8B"/>
    <w:rsid w:val="20947775"/>
    <w:rsid w:val="209F7A73"/>
    <w:rsid w:val="20AE6A88"/>
    <w:rsid w:val="210C37AF"/>
    <w:rsid w:val="212214E5"/>
    <w:rsid w:val="216D6944"/>
    <w:rsid w:val="21912C1B"/>
    <w:rsid w:val="21AB121A"/>
    <w:rsid w:val="21FD3440"/>
    <w:rsid w:val="222023B7"/>
    <w:rsid w:val="22206070"/>
    <w:rsid w:val="222C28DC"/>
    <w:rsid w:val="226D0BB3"/>
    <w:rsid w:val="22A74534"/>
    <w:rsid w:val="22CF34F0"/>
    <w:rsid w:val="23075E1C"/>
    <w:rsid w:val="233D5EA2"/>
    <w:rsid w:val="23447230"/>
    <w:rsid w:val="235A16CC"/>
    <w:rsid w:val="237107C1"/>
    <w:rsid w:val="238517F6"/>
    <w:rsid w:val="239A7798"/>
    <w:rsid w:val="23F5677C"/>
    <w:rsid w:val="243C4163"/>
    <w:rsid w:val="24800CBD"/>
    <w:rsid w:val="2489234B"/>
    <w:rsid w:val="252A46CB"/>
    <w:rsid w:val="25A76277"/>
    <w:rsid w:val="25BF7042"/>
    <w:rsid w:val="25D20ADE"/>
    <w:rsid w:val="26012EC6"/>
    <w:rsid w:val="264439EB"/>
    <w:rsid w:val="265A5DE3"/>
    <w:rsid w:val="266F6427"/>
    <w:rsid w:val="27337E5F"/>
    <w:rsid w:val="276079BF"/>
    <w:rsid w:val="27802801"/>
    <w:rsid w:val="27AC1848"/>
    <w:rsid w:val="283830DC"/>
    <w:rsid w:val="288E2F79"/>
    <w:rsid w:val="28A90645"/>
    <w:rsid w:val="28E868B0"/>
    <w:rsid w:val="292C57DC"/>
    <w:rsid w:val="293E5DCA"/>
    <w:rsid w:val="29F03F0D"/>
    <w:rsid w:val="29F50D4C"/>
    <w:rsid w:val="29FE49F4"/>
    <w:rsid w:val="2A2E39EF"/>
    <w:rsid w:val="2A802A20"/>
    <w:rsid w:val="2ADE0523"/>
    <w:rsid w:val="2B153A3E"/>
    <w:rsid w:val="2B397896"/>
    <w:rsid w:val="2B73427F"/>
    <w:rsid w:val="2BA54F2C"/>
    <w:rsid w:val="2C2F0C4C"/>
    <w:rsid w:val="2C35005E"/>
    <w:rsid w:val="2CCA5B2A"/>
    <w:rsid w:val="2CCF04B2"/>
    <w:rsid w:val="2CEB4BC0"/>
    <w:rsid w:val="2CF17E33"/>
    <w:rsid w:val="2DD379FC"/>
    <w:rsid w:val="2E141EF5"/>
    <w:rsid w:val="2EA25753"/>
    <w:rsid w:val="2EE50BEB"/>
    <w:rsid w:val="2EFA558F"/>
    <w:rsid w:val="2F627784"/>
    <w:rsid w:val="2FEB0144"/>
    <w:rsid w:val="3075024B"/>
    <w:rsid w:val="30DB4814"/>
    <w:rsid w:val="311A0833"/>
    <w:rsid w:val="311E13B1"/>
    <w:rsid w:val="317A6411"/>
    <w:rsid w:val="31BC7510"/>
    <w:rsid w:val="31DB75CF"/>
    <w:rsid w:val="31E50C31"/>
    <w:rsid w:val="31EB6695"/>
    <w:rsid w:val="322B497F"/>
    <w:rsid w:val="326D293A"/>
    <w:rsid w:val="33097E25"/>
    <w:rsid w:val="33611490"/>
    <w:rsid w:val="336D632F"/>
    <w:rsid w:val="33770F5C"/>
    <w:rsid w:val="342E27BF"/>
    <w:rsid w:val="343E5D18"/>
    <w:rsid w:val="34733148"/>
    <w:rsid w:val="34A52C92"/>
    <w:rsid w:val="34D95676"/>
    <w:rsid w:val="34EA5027"/>
    <w:rsid w:val="35080566"/>
    <w:rsid w:val="353640A8"/>
    <w:rsid w:val="354C5D51"/>
    <w:rsid w:val="356764FF"/>
    <w:rsid w:val="356C2617"/>
    <w:rsid w:val="358D688D"/>
    <w:rsid w:val="35D17A6C"/>
    <w:rsid w:val="35D616E7"/>
    <w:rsid w:val="365437D6"/>
    <w:rsid w:val="367479D5"/>
    <w:rsid w:val="36F213D7"/>
    <w:rsid w:val="3704562D"/>
    <w:rsid w:val="37313B18"/>
    <w:rsid w:val="3742041A"/>
    <w:rsid w:val="374970B3"/>
    <w:rsid w:val="377D6D5D"/>
    <w:rsid w:val="378400EB"/>
    <w:rsid w:val="37A61D09"/>
    <w:rsid w:val="37CF76F0"/>
    <w:rsid w:val="38011685"/>
    <w:rsid w:val="389205E6"/>
    <w:rsid w:val="38AD6F2F"/>
    <w:rsid w:val="38D75279"/>
    <w:rsid w:val="38E672C8"/>
    <w:rsid w:val="39411E84"/>
    <w:rsid w:val="39BA01FF"/>
    <w:rsid w:val="3A3649A5"/>
    <w:rsid w:val="3A497E04"/>
    <w:rsid w:val="3A865F28"/>
    <w:rsid w:val="3B0752BB"/>
    <w:rsid w:val="3B3B6F35"/>
    <w:rsid w:val="3BA66EBF"/>
    <w:rsid w:val="3BF27D19"/>
    <w:rsid w:val="3C6A273B"/>
    <w:rsid w:val="3C7C75E3"/>
    <w:rsid w:val="3CB92E35"/>
    <w:rsid w:val="3CBF23D1"/>
    <w:rsid w:val="3CC46D7B"/>
    <w:rsid w:val="3CE21838"/>
    <w:rsid w:val="3D035E73"/>
    <w:rsid w:val="3D5D11C3"/>
    <w:rsid w:val="3DA02290"/>
    <w:rsid w:val="3DC26CA0"/>
    <w:rsid w:val="3E1A70B4"/>
    <w:rsid w:val="3E5C147A"/>
    <w:rsid w:val="3E6D1D73"/>
    <w:rsid w:val="3E740ECA"/>
    <w:rsid w:val="3EE75CED"/>
    <w:rsid w:val="3F781F9D"/>
    <w:rsid w:val="3F7E267B"/>
    <w:rsid w:val="3F886DFC"/>
    <w:rsid w:val="3FAB5C3D"/>
    <w:rsid w:val="3FFE5532"/>
    <w:rsid w:val="406E13CC"/>
    <w:rsid w:val="4081166C"/>
    <w:rsid w:val="40B51316"/>
    <w:rsid w:val="40C63523"/>
    <w:rsid w:val="411A155B"/>
    <w:rsid w:val="41221933"/>
    <w:rsid w:val="4153064D"/>
    <w:rsid w:val="417E3F95"/>
    <w:rsid w:val="41850C8C"/>
    <w:rsid w:val="41B11ADD"/>
    <w:rsid w:val="4213333A"/>
    <w:rsid w:val="425476DD"/>
    <w:rsid w:val="425E7BE2"/>
    <w:rsid w:val="42935686"/>
    <w:rsid w:val="43725961"/>
    <w:rsid w:val="439374F9"/>
    <w:rsid w:val="43AD0C4C"/>
    <w:rsid w:val="43AF029E"/>
    <w:rsid w:val="43BF1615"/>
    <w:rsid w:val="441F3676"/>
    <w:rsid w:val="442A7933"/>
    <w:rsid w:val="44685C53"/>
    <w:rsid w:val="4484257D"/>
    <w:rsid w:val="448605E9"/>
    <w:rsid w:val="448B52DF"/>
    <w:rsid w:val="44923EBD"/>
    <w:rsid w:val="44AA2B89"/>
    <w:rsid w:val="44BF67CE"/>
    <w:rsid w:val="44C17D47"/>
    <w:rsid w:val="44EE129A"/>
    <w:rsid w:val="451900C5"/>
    <w:rsid w:val="45316F53"/>
    <w:rsid w:val="453715AA"/>
    <w:rsid w:val="455A32AE"/>
    <w:rsid w:val="456F67C7"/>
    <w:rsid w:val="45877786"/>
    <w:rsid w:val="45B868CB"/>
    <w:rsid w:val="466660FD"/>
    <w:rsid w:val="46E55351"/>
    <w:rsid w:val="47150D60"/>
    <w:rsid w:val="472C2D41"/>
    <w:rsid w:val="474C1F2C"/>
    <w:rsid w:val="475117B1"/>
    <w:rsid w:val="47B75973"/>
    <w:rsid w:val="47ED0FED"/>
    <w:rsid w:val="48546BA2"/>
    <w:rsid w:val="485E04E5"/>
    <w:rsid w:val="489337B9"/>
    <w:rsid w:val="48E62120"/>
    <w:rsid w:val="49C13B9A"/>
    <w:rsid w:val="49E62B9D"/>
    <w:rsid w:val="4A140CB3"/>
    <w:rsid w:val="4A601D2D"/>
    <w:rsid w:val="4AA649E4"/>
    <w:rsid w:val="4B7D1B37"/>
    <w:rsid w:val="4BDC009E"/>
    <w:rsid w:val="4BFC35A9"/>
    <w:rsid w:val="4C1A6A91"/>
    <w:rsid w:val="4C2F4672"/>
    <w:rsid w:val="4C6B4F7E"/>
    <w:rsid w:val="4CC2260E"/>
    <w:rsid w:val="4CDA6567"/>
    <w:rsid w:val="4D2F2079"/>
    <w:rsid w:val="4D357A66"/>
    <w:rsid w:val="4D3B150A"/>
    <w:rsid w:val="4D431E87"/>
    <w:rsid w:val="4DFF7EB9"/>
    <w:rsid w:val="4E265601"/>
    <w:rsid w:val="4E2F2707"/>
    <w:rsid w:val="4E985E92"/>
    <w:rsid w:val="4EB23FF8"/>
    <w:rsid w:val="4EB32FE9"/>
    <w:rsid w:val="4EBB080C"/>
    <w:rsid w:val="4EC15329"/>
    <w:rsid w:val="4FD80121"/>
    <w:rsid w:val="4FF4313C"/>
    <w:rsid w:val="50A56850"/>
    <w:rsid w:val="50E377D9"/>
    <w:rsid w:val="50E94BEC"/>
    <w:rsid w:val="511562C5"/>
    <w:rsid w:val="51465321"/>
    <w:rsid w:val="516B614C"/>
    <w:rsid w:val="516F4272"/>
    <w:rsid w:val="51AC474E"/>
    <w:rsid w:val="51CB62DE"/>
    <w:rsid w:val="51FC6DA4"/>
    <w:rsid w:val="527F1783"/>
    <w:rsid w:val="52D715BF"/>
    <w:rsid w:val="52D97C57"/>
    <w:rsid w:val="52DE46FC"/>
    <w:rsid w:val="52EB01A6"/>
    <w:rsid w:val="52EF6909"/>
    <w:rsid w:val="537E733E"/>
    <w:rsid w:val="539F20DD"/>
    <w:rsid w:val="539F3C9C"/>
    <w:rsid w:val="540B3D5F"/>
    <w:rsid w:val="540C7047"/>
    <w:rsid w:val="55116CA5"/>
    <w:rsid w:val="55264138"/>
    <w:rsid w:val="55320D2F"/>
    <w:rsid w:val="55556607"/>
    <w:rsid w:val="55677181"/>
    <w:rsid w:val="55C65B63"/>
    <w:rsid w:val="55EB1E6D"/>
    <w:rsid w:val="56101070"/>
    <w:rsid w:val="561D2CFD"/>
    <w:rsid w:val="56D41335"/>
    <w:rsid w:val="572A09D8"/>
    <w:rsid w:val="572C2D3C"/>
    <w:rsid w:val="574102AB"/>
    <w:rsid w:val="575D6D01"/>
    <w:rsid w:val="577E22CF"/>
    <w:rsid w:val="57872B43"/>
    <w:rsid w:val="578A0854"/>
    <w:rsid w:val="579B2BBB"/>
    <w:rsid w:val="57D34E14"/>
    <w:rsid w:val="5862602D"/>
    <w:rsid w:val="58BE3005"/>
    <w:rsid w:val="59142C25"/>
    <w:rsid w:val="59203927"/>
    <w:rsid w:val="598E6019"/>
    <w:rsid w:val="5A233363"/>
    <w:rsid w:val="5A8262B5"/>
    <w:rsid w:val="5AD015E3"/>
    <w:rsid w:val="5AD3266C"/>
    <w:rsid w:val="5B595267"/>
    <w:rsid w:val="5BA109BC"/>
    <w:rsid w:val="5BEF1FE5"/>
    <w:rsid w:val="5BF2204F"/>
    <w:rsid w:val="5CD362FC"/>
    <w:rsid w:val="5CDC52D1"/>
    <w:rsid w:val="5D2210AD"/>
    <w:rsid w:val="5D37392B"/>
    <w:rsid w:val="5D562599"/>
    <w:rsid w:val="5DA14CA4"/>
    <w:rsid w:val="5E2102B0"/>
    <w:rsid w:val="5ED54C05"/>
    <w:rsid w:val="5F0C439F"/>
    <w:rsid w:val="5F123C50"/>
    <w:rsid w:val="5F3959B7"/>
    <w:rsid w:val="5F9A391C"/>
    <w:rsid w:val="5FFF5537"/>
    <w:rsid w:val="6025644C"/>
    <w:rsid w:val="6144500B"/>
    <w:rsid w:val="614C600C"/>
    <w:rsid w:val="61573FF7"/>
    <w:rsid w:val="615A7643"/>
    <w:rsid w:val="61677FB2"/>
    <w:rsid w:val="620121B5"/>
    <w:rsid w:val="62031967"/>
    <w:rsid w:val="621974FF"/>
    <w:rsid w:val="62261C1B"/>
    <w:rsid w:val="623518FF"/>
    <w:rsid w:val="62525BE3"/>
    <w:rsid w:val="625A448F"/>
    <w:rsid w:val="62A27BEC"/>
    <w:rsid w:val="63010B94"/>
    <w:rsid w:val="633D721D"/>
    <w:rsid w:val="63C6707A"/>
    <w:rsid w:val="63CD67F3"/>
    <w:rsid w:val="64143877"/>
    <w:rsid w:val="643C74D4"/>
    <w:rsid w:val="646D768E"/>
    <w:rsid w:val="64C517FC"/>
    <w:rsid w:val="64E27616"/>
    <w:rsid w:val="656942F9"/>
    <w:rsid w:val="656B2FF4"/>
    <w:rsid w:val="65B14E8B"/>
    <w:rsid w:val="65D31F14"/>
    <w:rsid w:val="65F362B8"/>
    <w:rsid w:val="65FF07B9"/>
    <w:rsid w:val="6607520C"/>
    <w:rsid w:val="6610416E"/>
    <w:rsid w:val="67CC02A4"/>
    <w:rsid w:val="68071BA7"/>
    <w:rsid w:val="683C7AA3"/>
    <w:rsid w:val="686A3EA0"/>
    <w:rsid w:val="68802085"/>
    <w:rsid w:val="69D4220C"/>
    <w:rsid w:val="6AAD4C88"/>
    <w:rsid w:val="6ACB38A8"/>
    <w:rsid w:val="6B203CC9"/>
    <w:rsid w:val="6B6F63E1"/>
    <w:rsid w:val="6B7B7B0D"/>
    <w:rsid w:val="6B8C3D55"/>
    <w:rsid w:val="6BBC403B"/>
    <w:rsid w:val="6BF34310"/>
    <w:rsid w:val="6BF477E0"/>
    <w:rsid w:val="6C102541"/>
    <w:rsid w:val="6C144384"/>
    <w:rsid w:val="6C154C1F"/>
    <w:rsid w:val="6CCB2F33"/>
    <w:rsid w:val="6D025BD9"/>
    <w:rsid w:val="6D0E3405"/>
    <w:rsid w:val="6D156EF6"/>
    <w:rsid w:val="6D6D4BA2"/>
    <w:rsid w:val="6DB05148"/>
    <w:rsid w:val="6DBE3A4F"/>
    <w:rsid w:val="6DC82D7C"/>
    <w:rsid w:val="6DCF7A58"/>
    <w:rsid w:val="6DE31354"/>
    <w:rsid w:val="6E0C3E04"/>
    <w:rsid w:val="6E142EDF"/>
    <w:rsid w:val="6E414065"/>
    <w:rsid w:val="6ED8429D"/>
    <w:rsid w:val="6F0D6EF6"/>
    <w:rsid w:val="6F196A12"/>
    <w:rsid w:val="6F6302E1"/>
    <w:rsid w:val="6F962D80"/>
    <w:rsid w:val="6FA83C70"/>
    <w:rsid w:val="6FF00C7D"/>
    <w:rsid w:val="707263E0"/>
    <w:rsid w:val="70A60D60"/>
    <w:rsid w:val="70AB5949"/>
    <w:rsid w:val="70C16442"/>
    <w:rsid w:val="70FC07A4"/>
    <w:rsid w:val="7152137D"/>
    <w:rsid w:val="7177115B"/>
    <w:rsid w:val="71826552"/>
    <w:rsid w:val="71C16AAB"/>
    <w:rsid w:val="71F43210"/>
    <w:rsid w:val="72656FEF"/>
    <w:rsid w:val="72667F6C"/>
    <w:rsid w:val="72907BE9"/>
    <w:rsid w:val="72D54D7C"/>
    <w:rsid w:val="73C34D67"/>
    <w:rsid w:val="73DD7236"/>
    <w:rsid w:val="73F915E9"/>
    <w:rsid w:val="746F4C86"/>
    <w:rsid w:val="7499002B"/>
    <w:rsid w:val="74BD46BE"/>
    <w:rsid w:val="74C83AF0"/>
    <w:rsid w:val="75272A59"/>
    <w:rsid w:val="752A091E"/>
    <w:rsid w:val="755754B0"/>
    <w:rsid w:val="755C1784"/>
    <w:rsid w:val="756036A9"/>
    <w:rsid w:val="756D573F"/>
    <w:rsid w:val="75BA53BB"/>
    <w:rsid w:val="75FB65A1"/>
    <w:rsid w:val="76574E6E"/>
    <w:rsid w:val="768E1E1C"/>
    <w:rsid w:val="76BD5391"/>
    <w:rsid w:val="76FB755F"/>
    <w:rsid w:val="772B7660"/>
    <w:rsid w:val="77867BC8"/>
    <w:rsid w:val="77EC4583"/>
    <w:rsid w:val="781632E3"/>
    <w:rsid w:val="78520C1D"/>
    <w:rsid w:val="78636CF4"/>
    <w:rsid w:val="78777E4D"/>
    <w:rsid w:val="78864B7C"/>
    <w:rsid w:val="78AE0F69"/>
    <w:rsid w:val="78CF35B1"/>
    <w:rsid w:val="78DB68A2"/>
    <w:rsid w:val="796A1C3B"/>
    <w:rsid w:val="79B04CB9"/>
    <w:rsid w:val="79C85455"/>
    <w:rsid w:val="7A145F4A"/>
    <w:rsid w:val="7A664E53"/>
    <w:rsid w:val="7A6A653D"/>
    <w:rsid w:val="7A895EC1"/>
    <w:rsid w:val="7A8D6436"/>
    <w:rsid w:val="7A9833BD"/>
    <w:rsid w:val="7ACC2923"/>
    <w:rsid w:val="7B5C4512"/>
    <w:rsid w:val="7B7D71B1"/>
    <w:rsid w:val="7B801E28"/>
    <w:rsid w:val="7B8B70F7"/>
    <w:rsid w:val="7C36703F"/>
    <w:rsid w:val="7C74060F"/>
    <w:rsid w:val="7C975798"/>
    <w:rsid w:val="7CF90B34"/>
    <w:rsid w:val="7D366D5F"/>
    <w:rsid w:val="7D8851BF"/>
    <w:rsid w:val="7DC80F8F"/>
    <w:rsid w:val="7DCA74A7"/>
    <w:rsid w:val="7DE06CCB"/>
    <w:rsid w:val="7E9A5D16"/>
    <w:rsid w:val="7F930498"/>
    <w:rsid w:val="7FA730F8"/>
  </w:rsids>
  <m:mathPr>
    <m:brkBin m:val="before"/>
    <m:brkBinSub m:val="--"/>
    <m:smallFrac m:val="1"/>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7" w:semiHidden="0" w:name="heading 1"/>
    <w:lsdException w:qFormat="1" w:uiPriority="8" w:semiHidden="0" w:name="heading 2"/>
    <w:lsdException w:qFormat="1" w:uiPriority="9" w:semiHidden="0" w:name="heading 3"/>
    <w:lsdException w:qFormat="1" w:uiPriority="1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28" w:semiHidden="0" w:name="toc 1"/>
    <w:lsdException w:qFormat="1" w:unhideWhenUsed="0" w:uiPriority="29" w:semiHidden="0" w:name="toc 2"/>
    <w:lsdException w:qFormat="1" w:unhideWhenUsed="0" w:uiPriority="3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154" w:semiHidden="0" w:name="header"/>
    <w:lsdException w:qFormat="1" w:unhideWhenUsed="0" w:uiPriority="153"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2"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151"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157" w:semiHidden="0" w:name="Hyperlink"/>
    <w:lsdException w:qFormat="1" w:unhideWhenUsed="0" w:uiPriority="156" w:semiHidden="0" w:name="FollowedHyperlink"/>
    <w:lsdException w:qFormat="1" w:unhideWhenUsed="0" w:uiPriority="2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55"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3"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152"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jc w:val="both"/>
    </w:pPr>
    <w:rPr>
      <w:rFonts w:ascii="Calibri" w:hAnsi="Calibri" w:eastAsia="宋体" w:cs="Times New Roman"/>
      <w:sz w:val="21"/>
      <w:szCs w:val="21"/>
      <w:lang w:val="en-US" w:eastAsia="zh-CN" w:bidi="ar-SA"/>
    </w:rPr>
  </w:style>
  <w:style w:type="paragraph" w:styleId="2">
    <w:name w:val="heading 1"/>
    <w:basedOn w:val="1"/>
    <w:next w:val="1"/>
    <w:link w:val="38"/>
    <w:autoRedefine/>
    <w:qFormat/>
    <w:uiPriority w:val="7"/>
    <w:pPr>
      <w:spacing w:before="340" w:after="330" w:line="578" w:lineRule="auto"/>
      <w:outlineLvl w:val="0"/>
    </w:pPr>
    <w:rPr>
      <w:b/>
      <w:sz w:val="44"/>
      <w:szCs w:val="44"/>
    </w:rPr>
  </w:style>
  <w:style w:type="paragraph" w:styleId="3">
    <w:name w:val="heading 2"/>
    <w:basedOn w:val="1"/>
    <w:next w:val="1"/>
    <w:link w:val="39"/>
    <w:autoRedefine/>
    <w:unhideWhenUsed/>
    <w:qFormat/>
    <w:uiPriority w:val="8"/>
    <w:pPr>
      <w:spacing w:before="260" w:after="260" w:line="415" w:lineRule="auto"/>
      <w:outlineLvl w:val="1"/>
    </w:pPr>
    <w:rPr>
      <w:rFonts w:asciiTheme="majorHAnsi" w:hAnsiTheme="majorHAnsi" w:eastAsiaTheme="majorEastAsia" w:cstheme="minorBidi"/>
      <w:b/>
      <w:sz w:val="32"/>
      <w:szCs w:val="32"/>
    </w:rPr>
  </w:style>
  <w:style w:type="paragraph" w:styleId="4">
    <w:name w:val="heading 3"/>
    <w:basedOn w:val="1"/>
    <w:next w:val="1"/>
    <w:link w:val="40"/>
    <w:autoRedefine/>
    <w:unhideWhenUsed/>
    <w:qFormat/>
    <w:uiPriority w:val="9"/>
    <w:pPr>
      <w:spacing w:before="260" w:after="260" w:line="415" w:lineRule="auto"/>
      <w:outlineLvl w:val="2"/>
    </w:pPr>
    <w:rPr>
      <w:b/>
      <w:sz w:val="32"/>
      <w:szCs w:val="32"/>
    </w:rPr>
  </w:style>
  <w:style w:type="paragraph" w:styleId="5">
    <w:name w:val="heading 4"/>
    <w:basedOn w:val="1"/>
    <w:next w:val="1"/>
    <w:link w:val="41"/>
    <w:autoRedefine/>
    <w:unhideWhenUsed/>
    <w:qFormat/>
    <w:uiPriority w:val="10"/>
    <w:pPr>
      <w:spacing w:before="280" w:after="290" w:line="376" w:lineRule="auto"/>
      <w:outlineLvl w:val="3"/>
    </w:pPr>
    <w:rPr>
      <w:rFonts w:asciiTheme="majorHAnsi" w:hAnsiTheme="majorHAnsi" w:eastAsiaTheme="majorEastAsia" w:cstheme="minorBidi"/>
      <w:b/>
      <w:sz w:val="28"/>
      <w:szCs w:val="28"/>
    </w:rPr>
  </w:style>
  <w:style w:type="character" w:default="1" w:styleId="19">
    <w:name w:val="Default Paragraph Font"/>
    <w:autoRedefine/>
    <w:semiHidden/>
    <w:unhideWhenUsed/>
    <w:qFormat/>
    <w:uiPriority w:val="2"/>
  </w:style>
  <w:style w:type="table" w:default="1" w:styleId="17">
    <w:name w:val="Normal Table"/>
    <w:autoRedefine/>
    <w:semiHidden/>
    <w:unhideWhenUsed/>
    <w:qFormat/>
    <w:uiPriority w:val="3"/>
    <w:tblPr>
      <w:tblCellMar>
        <w:top w:w="0" w:type="dxa"/>
        <w:left w:w="108" w:type="dxa"/>
        <w:bottom w:w="0" w:type="dxa"/>
        <w:right w:w="108" w:type="dxa"/>
      </w:tblCellMar>
    </w:tblPr>
  </w:style>
  <w:style w:type="paragraph" w:styleId="6">
    <w:name w:val="Body Text"/>
    <w:basedOn w:val="1"/>
    <w:autoRedefine/>
    <w:qFormat/>
    <w:uiPriority w:val="1"/>
    <w:rPr>
      <w:sz w:val="32"/>
      <w:szCs w:val="32"/>
    </w:rPr>
  </w:style>
  <w:style w:type="paragraph" w:styleId="7">
    <w:name w:val="Body Text Indent"/>
    <w:basedOn w:val="1"/>
    <w:autoRedefine/>
    <w:unhideWhenUsed/>
    <w:qFormat/>
    <w:uiPriority w:val="99"/>
    <w:pPr>
      <w:spacing w:after="120"/>
      <w:ind w:left="420" w:leftChars="200"/>
    </w:pPr>
  </w:style>
  <w:style w:type="paragraph" w:styleId="8">
    <w:name w:val="toc 3"/>
    <w:basedOn w:val="1"/>
    <w:next w:val="1"/>
    <w:autoRedefine/>
    <w:qFormat/>
    <w:uiPriority w:val="30"/>
    <w:pPr>
      <w:ind w:left="840" w:leftChars="840" w:firstLine="0"/>
    </w:pPr>
  </w:style>
  <w:style w:type="paragraph" w:styleId="9">
    <w:name w:val="Date"/>
    <w:basedOn w:val="1"/>
    <w:next w:val="1"/>
    <w:link w:val="37"/>
    <w:autoRedefine/>
    <w:qFormat/>
    <w:uiPriority w:val="151"/>
    <w:pPr>
      <w:ind w:left="100" w:leftChars="100" w:firstLine="0"/>
    </w:pPr>
  </w:style>
  <w:style w:type="paragraph" w:styleId="10">
    <w:name w:val="Balloon Text"/>
    <w:basedOn w:val="1"/>
    <w:link w:val="36"/>
    <w:autoRedefine/>
    <w:qFormat/>
    <w:uiPriority w:val="152"/>
    <w:rPr>
      <w:sz w:val="18"/>
      <w:szCs w:val="18"/>
    </w:rPr>
  </w:style>
  <w:style w:type="paragraph" w:styleId="11">
    <w:name w:val="footer"/>
    <w:basedOn w:val="1"/>
    <w:link w:val="30"/>
    <w:autoRedefine/>
    <w:qFormat/>
    <w:uiPriority w:val="153"/>
    <w:pPr>
      <w:tabs>
        <w:tab w:val="center" w:pos="4153"/>
        <w:tab w:val="right" w:pos="8306"/>
      </w:tabs>
      <w:snapToGrid w:val="0"/>
    </w:pPr>
    <w:rPr>
      <w:rFonts w:ascii="Arial Unicode MS" w:hAnsi="Arial Unicode MS" w:eastAsia="微软雅黑"/>
      <w:sz w:val="18"/>
      <w:szCs w:val="18"/>
    </w:rPr>
  </w:style>
  <w:style w:type="paragraph" w:styleId="12">
    <w:name w:val="header"/>
    <w:basedOn w:val="1"/>
    <w:link w:val="29"/>
    <w:autoRedefine/>
    <w:qFormat/>
    <w:uiPriority w:val="154"/>
    <w:pPr>
      <w:pBdr>
        <w:bottom w:val="single" w:color="000000" w:sz="6" w:space="1"/>
      </w:pBdr>
      <w:tabs>
        <w:tab w:val="center" w:pos="4153"/>
        <w:tab w:val="right" w:pos="8306"/>
      </w:tabs>
      <w:snapToGrid w:val="0"/>
      <w:jc w:val="center"/>
    </w:pPr>
    <w:rPr>
      <w:rFonts w:ascii="Arial Unicode MS" w:hAnsi="Arial Unicode MS" w:eastAsia="微软雅黑"/>
      <w:sz w:val="18"/>
      <w:szCs w:val="18"/>
    </w:rPr>
  </w:style>
  <w:style w:type="paragraph" w:styleId="13">
    <w:name w:val="toc 1"/>
    <w:basedOn w:val="1"/>
    <w:next w:val="1"/>
    <w:autoRedefine/>
    <w:qFormat/>
    <w:uiPriority w:val="28"/>
  </w:style>
  <w:style w:type="paragraph" w:styleId="14">
    <w:name w:val="toc 2"/>
    <w:basedOn w:val="1"/>
    <w:next w:val="1"/>
    <w:autoRedefine/>
    <w:qFormat/>
    <w:uiPriority w:val="29"/>
    <w:pPr>
      <w:ind w:left="420" w:leftChars="420" w:firstLine="0"/>
    </w:pPr>
  </w:style>
  <w:style w:type="paragraph" w:styleId="15">
    <w:name w:val="Normal (Web)"/>
    <w:basedOn w:val="1"/>
    <w:autoRedefine/>
    <w:qFormat/>
    <w:uiPriority w:val="155"/>
    <w:pPr>
      <w:spacing w:before="100" w:beforeAutospacing="1" w:after="100" w:afterAutospacing="1"/>
      <w:jc w:val="left"/>
    </w:pPr>
    <w:rPr>
      <w:rFonts w:ascii="宋体" w:hAnsi="宋体"/>
      <w:sz w:val="24"/>
      <w:szCs w:val="24"/>
    </w:rPr>
  </w:style>
  <w:style w:type="paragraph" w:styleId="16">
    <w:name w:val="Body Text First Indent 2"/>
    <w:basedOn w:val="7"/>
    <w:autoRedefine/>
    <w:unhideWhenUsed/>
    <w:qFormat/>
    <w:uiPriority w:val="99"/>
    <w:pPr>
      <w:ind w:firstLine="420" w:firstLineChars="200"/>
    </w:pPr>
    <w:rPr>
      <w:rFonts w:ascii="Times New Roman" w:hAnsi="Times New Roman" w:eastAsia="宋体" w:cs="Times New Roman"/>
    </w:rPr>
  </w:style>
  <w:style w:type="table" w:styleId="18">
    <w:name w:val="Table Grid"/>
    <w:basedOn w:val="17"/>
    <w:autoRedefine/>
    <w:qFormat/>
    <w:uiPriority w:val="37"/>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20"/>
    <w:rPr>
      <w:b/>
      <w:bCs/>
    </w:rPr>
  </w:style>
  <w:style w:type="character" w:styleId="21">
    <w:name w:val="FollowedHyperlink"/>
    <w:basedOn w:val="19"/>
    <w:autoRedefine/>
    <w:qFormat/>
    <w:uiPriority w:val="156"/>
    <w:rPr>
      <w:color w:val="607FA6"/>
      <w:u w:val="none"/>
    </w:rPr>
  </w:style>
  <w:style w:type="character" w:styleId="22">
    <w:name w:val="HTML Definition"/>
    <w:basedOn w:val="19"/>
    <w:autoRedefine/>
    <w:qFormat/>
    <w:uiPriority w:val="0"/>
    <w:rPr>
      <w:i/>
      <w:iCs/>
    </w:rPr>
  </w:style>
  <w:style w:type="character" w:styleId="23">
    <w:name w:val="HTML Acronym"/>
    <w:basedOn w:val="19"/>
    <w:autoRedefine/>
    <w:qFormat/>
    <w:uiPriority w:val="0"/>
  </w:style>
  <w:style w:type="character" w:styleId="24">
    <w:name w:val="Hyperlink"/>
    <w:basedOn w:val="19"/>
    <w:autoRedefine/>
    <w:qFormat/>
    <w:uiPriority w:val="157"/>
    <w:rPr>
      <w:color w:val="607FA6"/>
      <w:u w:val="none"/>
    </w:rPr>
  </w:style>
  <w:style w:type="character" w:styleId="25">
    <w:name w:val="HTML Code"/>
    <w:basedOn w:val="19"/>
    <w:autoRedefine/>
    <w:qFormat/>
    <w:uiPriority w:val="0"/>
    <w:rPr>
      <w:rFonts w:hint="default" w:ascii="monospace" w:hAnsi="monospace" w:eastAsia="monospace" w:cs="monospace"/>
      <w:sz w:val="21"/>
      <w:szCs w:val="21"/>
    </w:rPr>
  </w:style>
  <w:style w:type="character" w:styleId="26">
    <w:name w:val="HTML Keyboard"/>
    <w:basedOn w:val="19"/>
    <w:autoRedefine/>
    <w:qFormat/>
    <w:uiPriority w:val="0"/>
    <w:rPr>
      <w:rFonts w:hint="default" w:ascii="monospace" w:hAnsi="monospace" w:eastAsia="monospace" w:cs="monospace"/>
      <w:sz w:val="21"/>
      <w:szCs w:val="21"/>
    </w:rPr>
  </w:style>
  <w:style w:type="character" w:styleId="27">
    <w:name w:val="HTML Sample"/>
    <w:basedOn w:val="19"/>
    <w:autoRedefine/>
    <w:qFormat/>
    <w:uiPriority w:val="0"/>
    <w:rPr>
      <w:rFonts w:ascii="monospace" w:hAnsi="monospace" w:eastAsia="monospace" w:cs="monospace"/>
      <w:sz w:val="21"/>
      <w:szCs w:val="21"/>
    </w:rPr>
  </w:style>
  <w:style w:type="paragraph" w:styleId="28">
    <w:name w:val="List Paragraph"/>
    <w:basedOn w:val="1"/>
    <w:autoRedefine/>
    <w:qFormat/>
    <w:uiPriority w:val="26"/>
    <w:pPr>
      <w:ind w:firstLine="200"/>
    </w:pPr>
  </w:style>
  <w:style w:type="character" w:customStyle="1" w:styleId="29">
    <w:name w:val="页眉 Char"/>
    <w:basedOn w:val="19"/>
    <w:link w:val="12"/>
    <w:autoRedefine/>
    <w:qFormat/>
    <w:uiPriority w:val="158"/>
    <w:rPr>
      <w:rFonts w:ascii="Calibri" w:hAnsi="Calibri"/>
      <w:sz w:val="18"/>
      <w:szCs w:val="18"/>
    </w:rPr>
  </w:style>
  <w:style w:type="character" w:customStyle="1" w:styleId="30">
    <w:name w:val="页脚 Char"/>
    <w:basedOn w:val="19"/>
    <w:link w:val="11"/>
    <w:autoRedefine/>
    <w:qFormat/>
    <w:uiPriority w:val="159"/>
    <w:rPr>
      <w:rFonts w:hint="eastAsia" w:ascii="Arial Unicode MS" w:hAnsi="Arial Unicode MS" w:eastAsia="微软雅黑" w:cs="Arial Unicode MS"/>
      <w:sz w:val="18"/>
      <w:szCs w:val="18"/>
    </w:rPr>
  </w:style>
  <w:style w:type="character" w:customStyle="1" w:styleId="31">
    <w:name w:val="font01"/>
    <w:basedOn w:val="19"/>
    <w:autoRedefine/>
    <w:qFormat/>
    <w:uiPriority w:val="160"/>
    <w:rPr>
      <w:rFonts w:hint="eastAsia" w:ascii="宋体" w:hAnsi="宋体" w:eastAsia="宋体" w:cs="宋体"/>
      <w:b/>
      <w:color w:val="000000"/>
      <w:sz w:val="24"/>
      <w:szCs w:val="24"/>
      <w:u w:val="none"/>
    </w:rPr>
  </w:style>
  <w:style w:type="character" w:customStyle="1" w:styleId="32">
    <w:name w:val="rich_media_meta_nickname2"/>
    <w:basedOn w:val="19"/>
    <w:autoRedefine/>
    <w:qFormat/>
    <w:uiPriority w:val="161"/>
    <w:rPr>
      <w:vanish/>
    </w:rPr>
  </w:style>
  <w:style w:type="character" w:customStyle="1" w:styleId="33">
    <w:name w:val="font11"/>
    <w:basedOn w:val="19"/>
    <w:autoRedefine/>
    <w:qFormat/>
    <w:uiPriority w:val="162"/>
    <w:rPr>
      <w:rFonts w:hint="eastAsia" w:ascii="宋体" w:hAnsi="宋体" w:eastAsia="宋体" w:cs="宋体"/>
      <w:b/>
      <w:color w:val="000000"/>
      <w:sz w:val="56"/>
      <w:szCs w:val="56"/>
      <w:u w:val="none"/>
    </w:rPr>
  </w:style>
  <w:style w:type="character" w:customStyle="1" w:styleId="34">
    <w:name w:val="font41"/>
    <w:basedOn w:val="19"/>
    <w:autoRedefine/>
    <w:qFormat/>
    <w:uiPriority w:val="163"/>
    <w:rPr>
      <w:rFonts w:hint="eastAsia" w:ascii="宋体" w:hAnsi="宋体" w:eastAsia="宋体" w:cs="宋体"/>
      <w:b/>
      <w:color w:val="000000"/>
      <w:sz w:val="36"/>
      <w:szCs w:val="36"/>
      <w:u w:val="none"/>
    </w:rPr>
  </w:style>
  <w:style w:type="character" w:customStyle="1" w:styleId="35">
    <w:name w:val="font51"/>
    <w:basedOn w:val="19"/>
    <w:autoRedefine/>
    <w:qFormat/>
    <w:uiPriority w:val="164"/>
    <w:rPr>
      <w:rFonts w:hint="eastAsia" w:ascii="宋体" w:hAnsi="宋体" w:eastAsia="宋体" w:cs="宋体"/>
      <w:b/>
      <w:color w:val="000000"/>
      <w:sz w:val="28"/>
      <w:szCs w:val="28"/>
      <w:u w:val="none"/>
    </w:rPr>
  </w:style>
  <w:style w:type="character" w:customStyle="1" w:styleId="36">
    <w:name w:val="批注框文本 Char"/>
    <w:basedOn w:val="19"/>
    <w:link w:val="10"/>
    <w:autoRedefine/>
    <w:qFormat/>
    <w:uiPriority w:val="165"/>
    <w:rPr>
      <w:rFonts w:ascii="Calibri" w:hAnsi="Calibri"/>
      <w:sz w:val="18"/>
      <w:szCs w:val="18"/>
    </w:rPr>
  </w:style>
  <w:style w:type="character" w:customStyle="1" w:styleId="37">
    <w:name w:val="日期 Char"/>
    <w:basedOn w:val="19"/>
    <w:link w:val="9"/>
    <w:autoRedefine/>
    <w:qFormat/>
    <w:uiPriority w:val="166"/>
    <w:rPr>
      <w:rFonts w:ascii="Calibri" w:hAnsi="Calibri"/>
      <w:sz w:val="21"/>
      <w:szCs w:val="21"/>
    </w:rPr>
  </w:style>
  <w:style w:type="character" w:customStyle="1" w:styleId="38">
    <w:name w:val="标题 1 Char"/>
    <w:basedOn w:val="19"/>
    <w:link w:val="2"/>
    <w:autoRedefine/>
    <w:qFormat/>
    <w:uiPriority w:val="167"/>
    <w:rPr>
      <w:rFonts w:ascii="Calibri" w:hAnsi="Calibri"/>
      <w:b/>
      <w:sz w:val="44"/>
      <w:szCs w:val="44"/>
    </w:rPr>
  </w:style>
  <w:style w:type="character" w:customStyle="1" w:styleId="39">
    <w:name w:val="标题 2 Char"/>
    <w:basedOn w:val="19"/>
    <w:link w:val="3"/>
    <w:autoRedefine/>
    <w:qFormat/>
    <w:uiPriority w:val="168"/>
    <w:rPr>
      <w:rFonts w:asciiTheme="majorHAnsi" w:hAnsiTheme="majorHAnsi" w:eastAsiaTheme="majorEastAsia" w:cstheme="minorBidi"/>
      <w:b/>
      <w:sz w:val="32"/>
      <w:szCs w:val="32"/>
    </w:rPr>
  </w:style>
  <w:style w:type="character" w:customStyle="1" w:styleId="40">
    <w:name w:val="标题 3 Char"/>
    <w:basedOn w:val="19"/>
    <w:link w:val="4"/>
    <w:autoRedefine/>
    <w:qFormat/>
    <w:uiPriority w:val="169"/>
    <w:rPr>
      <w:rFonts w:ascii="Calibri" w:hAnsi="Calibri"/>
      <w:b/>
      <w:sz w:val="32"/>
      <w:szCs w:val="32"/>
    </w:rPr>
  </w:style>
  <w:style w:type="character" w:customStyle="1" w:styleId="41">
    <w:name w:val="标题 4 Char"/>
    <w:basedOn w:val="19"/>
    <w:link w:val="5"/>
    <w:autoRedefine/>
    <w:qFormat/>
    <w:uiPriority w:val="170"/>
    <w:rPr>
      <w:rFonts w:asciiTheme="majorHAnsi" w:hAnsiTheme="majorHAnsi" w:eastAsiaTheme="majorEastAsia" w:cstheme="minorBidi"/>
      <w:b/>
      <w:sz w:val="28"/>
      <w:szCs w:val="28"/>
    </w:rPr>
  </w:style>
  <w:style w:type="paragraph" w:customStyle="1" w:styleId="42">
    <w:name w:val="TOC 标题1"/>
    <w:basedOn w:val="2"/>
    <w:next w:val="1"/>
    <w:autoRedefine/>
    <w:semiHidden/>
    <w:unhideWhenUsed/>
    <w:qFormat/>
    <w:uiPriority w:val="171"/>
    <w:pPr>
      <w:spacing w:before="480" w:after="0" w:line="276" w:lineRule="auto"/>
      <w:jc w:val="left"/>
      <w:outlineLvl w:val="9"/>
    </w:pPr>
    <w:rPr>
      <w:rFonts w:asciiTheme="majorHAnsi" w:hAnsiTheme="majorHAnsi" w:eastAsiaTheme="majorEastAsia" w:cstheme="minorBidi"/>
      <w:color w:val="366091" w:themeColor="accent1" w:themeShade="BF"/>
      <w:sz w:val="28"/>
      <w:szCs w:val="28"/>
    </w:rPr>
  </w:style>
  <w:style w:type="character" w:customStyle="1" w:styleId="43">
    <w:name w:val="c3"/>
    <w:basedOn w:val="19"/>
    <w:autoRedefine/>
    <w:qFormat/>
    <w:uiPriority w:val="0"/>
  </w:style>
  <w:style w:type="character" w:customStyle="1" w:styleId="44">
    <w:name w:val="left"/>
    <w:basedOn w:val="19"/>
    <w:autoRedefine/>
    <w:qFormat/>
    <w:uiPriority w:val="0"/>
  </w:style>
  <w:style w:type="character" w:customStyle="1" w:styleId="45">
    <w:name w:val="tit7"/>
    <w:basedOn w:val="19"/>
    <w:autoRedefine/>
    <w:qFormat/>
    <w:uiPriority w:val="0"/>
    <w:rPr>
      <w:b/>
      <w:bCs/>
      <w:color w:val="333333"/>
      <w:sz w:val="24"/>
      <w:szCs w:val="24"/>
    </w:rPr>
  </w:style>
  <w:style w:type="character" w:customStyle="1" w:styleId="46">
    <w:name w:val="c1"/>
    <w:basedOn w:val="19"/>
    <w:autoRedefine/>
    <w:qFormat/>
    <w:uiPriority w:val="0"/>
  </w:style>
  <w:style w:type="character" w:customStyle="1" w:styleId="47">
    <w:name w:val="c2"/>
    <w:basedOn w:val="19"/>
    <w:autoRedefine/>
    <w:qFormat/>
    <w:uiPriority w:val="0"/>
  </w:style>
  <w:style w:type="character" w:customStyle="1" w:styleId="48">
    <w:name w:val="msg-box"/>
    <w:basedOn w:val="19"/>
    <w:autoRedefine/>
    <w:qFormat/>
    <w:uiPriority w:val="0"/>
  </w:style>
  <w:style w:type="character" w:customStyle="1" w:styleId="49">
    <w:name w:val="buvis"/>
    <w:basedOn w:val="19"/>
    <w:autoRedefine/>
    <w:qFormat/>
    <w:uiPriority w:val="0"/>
    <w:rPr>
      <w:color w:val="999999"/>
    </w:rPr>
  </w:style>
  <w:style w:type="character" w:customStyle="1" w:styleId="50">
    <w:name w:val="buvis1"/>
    <w:basedOn w:val="19"/>
    <w:autoRedefine/>
    <w:qFormat/>
    <w:uiPriority w:val="0"/>
    <w:rPr>
      <w:color w:val="CC0000"/>
    </w:rPr>
  </w:style>
  <w:style w:type="character" w:customStyle="1" w:styleId="51">
    <w:name w:val="NormalCharacter"/>
    <w:autoRedefine/>
    <w:semiHidden/>
    <w:qFormat/>
    <w:uiPriority w:val="0"/>
  </w:style>
  <w:style w:type="paragraph" w:customStyle="1" w:styleId="52">
    <w:name w:val="Table Paragraph"/>
    <w:basedOn w:val="1"/>
    <w:autoRedefine/>
    <w:qFormat/>
    <w:uiPriority w:val="1"/>
  </w:style>
  <w:style w:type="paragraph" w:customStyle="1" w:styleId="53">
    <w:name w:val="_Style 2"/>
    <w:basedOn w:val="1"/>
    <w:autoRedefine/>
    <w:qFormat/>
    <w:uiPriority w:val="99"/>
    <w:pPr>
      <w:spacing w:line="351" w:lineRule="atLeast"/>
      <w:ind w:firstLine="623"/>
      <w:textAlignment w:val="baseline"/>
    </w:pPr>
    <w:rPr>
      <w:rFonts w:ascii="Times New Roman" w:hAnsi="Times New Roman" w:eastAsia="仿宋_GB2312" w:cs="Times New Roman"/>
      <w:color w:val="000000"/>
      <w:sz w:val="31"/>
      <w:szCs w:val="31"/>
    </w:rPr>
  </w:style>
  <w:style w:type="paragraph" w:customStyle="1" w:styleId="54">
    <w:name w:val="Normal_0"/>
    <w:autoRedefine/>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hkw"/>
    <w:basedOn w:val="1"/>
    <w:autoRedefine/>
    <w:qFormat/>
    <w:uiPriority w:val="0"/>
    <w:pPr>
      <w:widowControl/>
      <w:adjustRightInd w:val="0"/>
      <w:snapToGrid w:val="0"/>
      <w:spacing w:beforeLines="50" w:line="360" w:lineRule="auto"/>
      <w:ind w:firstLine="480" w:firstLineChars="200"/>
      <w:jc w:val="left"/>
    </w:pPr>
    <w:rPr>
      <w:rFonts w:ascii="宋体" w:hAnsi="宋体"/>
      <w:kern w:val="0"/>
    </w:rPr>
  </w:style>
  <w:style w:type="paragraph" w:customStyle="1" w:styleId="56">
    <w:name w:val="WPSOffice手动目录 1"/>
    <w:uiPriority w:val="0"/>
    <w:pPr>
      <w:ind w:leftChars="0"/>
    </w:pPr>
    <w:rPr>
      <w:rFonts w:ascii="Times New Roman" w:hAnsi="Times New Roman" w:eastAsia="宋体" w:cs="Times New Roman"/>
      <w:sz w:val="20"/>
      <w:szCs w:val="20"/>
    </w:rPr>
  </w:style>
  <w:style w:type="paragraph" w:customStyle="1" w:styleId="57">
    <w:name w:val="WPSOffice手动目录 2"/>
    <w:autoRedefine/>
    <w:uiPriority w:val="0"/>
    <w:pPr>
      <w:ind w:leftChars="200"/>
    </w:pPr>
    <w:rPr>
      <w:rFonts w:ascii="Times New Roman" w:hAnsi="Times New Roman" w:eastAsia="宋体" w:cs="Times New Roman"/>
      <w:sz w:val="20"/>
      <w:szCs w:val="20"/>
    </w:rPr>
  </w:style>
  <w:style w:type="paragraph" w:customStyle="1" w:styleId="58">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37</Pages>
  <Words>15679</Words>
  <Characters>16194</Characters>
  <Lines>129</Lines>
  <Paragraphs>36</Paragraphs>
  <TotalTime>8</TotalTime>
  <ScaleCrop>false</ScaleCrop>
  <LinksUpToDate>false</LinksUpToDate>
  <CharactersWithSpaces>16251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2021-01-14T06:43:00Z</dcterms:created>
  <dc:creator>Administrator</dc:creator>
  <cp:lastModifiedBy>Administrator</cp:lastModifiedBy>
  <cp:lastPrinted>2024-01-08T00:05:00Z</cp:lastPrinted>
  <dcterms:modified xsi:type="dcterms:W3CDTF">2024-01-08T03:10:15Z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8896B0E758774D948BC592FCB623E6C2</vt:lpwstr>
  </property>
</Properties>
</file>